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内瘘治疗仪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内瘘治疗仪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120000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肾内科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内瘘治疗仪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120000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ind w:firstLine="281" w:firstLineChars="100"/>
        <w:jc w:val="center"/>
        <w:rPr>
          <w:rFonts w:hint="eastAsia" w:ascii="PMingLiU" w:hAnsi="PMingLiU"/>
          <w:b/>
          <w:bCs/>
          <w:sz w:val="28"/>
          <w:u w:val="single"/>
        </w:rPr>
      </w:pPr>
      <w:r>
        <w:rPr>
          <w:rFonts w:hint="eastAsia" w:ascii="PMingLiU" w:hAnsi="PMingLiU" w:eastAsia="宋体"/>
          <w:b/>
          <w:bCs/>
          <w:sz w:val="28"/>
          <w:u w:val="single"/>
          <w:lang w:eastAsia="zh-CN"/>
        </w:rPr>
        <w:t>远红外线</w:t>
      </w:r>
      <w:r>
        <w:rPr>
          <w:rFonts w:hint="eastAsia" w:ascii="PMingLiU" w:hAnsi="PMingLiU" w:eastAsia="宋体"/>
          <w:b/>
          <w:bCs/>
          <w:sz w:val="28"/>
          <w:u w:val="single"/>
          <w:lang w:val="en-US" w:eastAsia="zh-CN"/>
        </w:rPr>
        <w:t>治疗仪</w:t>
      </w:r>
      <w:r>
        <w:rPr>
          <w:rFonts w:hint="eastAsia" w:ascii="PMingLiU" w:hAnsi="PMingLiU" w:eastAsia="宋体"/>
          <w:b/>
          <w:bCs/>
          <w:sz w:val="28"/>
          <w:u w:val="single"/>
          <w:lang w:eastAsia="zh-CN"/>
        </w:rPr>
        <w:t>参数</w:t>
      </w:r>
    </w:p>
    <w:p>
      <w:pPr>
        <w:ind w:firstLine="280" w:firstLineChars="100"/>
        <w:jc w:val="center"/>
        <w:rPr>
          <w:rFonts w:hint="eastAsia" w:ascii="華康中黑體" w:eastAsia="華康中黑體"/>
          <w:b/>
          <w:bCs/>
          <w:sz w:val="28"/>
          <w:u w:val="single"/>
        </w:rPr>
      </w:pPr>
    </w:p>
    <w:p>
      <w:pPr>
        <w:rPr>
          <w:rFonts w:hint="eastAsia"/>
        </w:rPr>
      </w:pPr>
      <w:r>
        <w:rPr>
          <w:rFonts w:hint="eastAsia" w:eastAsia="宋体"/>
          <w:b/>
          <w:bCs/>
        </w:rPr>
        <w:t xml:space="preserve">品名：远红外线治疗仪 </w:t>
      </w:r>
    </w:p>
    <w:p>
      <w:pPr>
        <w:rPr>
          <w:rFonts w:hint="eastAsia" w:ascii="PMingLiU" w:hAnsi="PMingLiU"/>
          <w:bCs/>
          <w:szCs w:val="24"/>
          <w:lang w:eastAsia="zh-CN"/>
        </w:rPr>
      </w:pPr>
      <w:r>
        <w:rPr>
          <w:rFonts w:hint="eastAsia" w:eastAsia="宋体"/>
          <w:lang w:eastAsia="zh-CN"/>
        </w:rPr>
        <w:t>质量认证体系：</w:t>
      </w:r>
    </w:p>
    <w:p>
      <w:pPr>
        <w:rPr>
          <w:rFonts w:hint="eastAsia" w:ascii="PMingLiU" w:hAnsi="PMingLiU"/>
          <w:bCs/>
          <w:szCs w:val="24"/>
          <w:lang w:eastAsia="zh-CN"/>
        </w:rPr>
      </w:pPr>
      <w:r>
        <w:rPr>
          <w:rFonts w:hAnsi="PMingLiU" w:eastAsia="宋体"/>
          <w:bCs/>
          <w:szCs w:val="24"/>
          <w:lang w:eastAsia="zh-CN"/>
        </w:rPr>
        <w:t xml:space="preserve"> </w:t>
      </w:r>
      <w:r>
        <w:rPr>
          <w:rFonts w:hint="eastAsia" w:hAnsi="PMingLiU" w:eastAsia="宋体"/>
          <w:bCs/>
          <w:szCs w:val="24"/>
          <w:lang w:eastAsia="zh-CN"/>
        </w:rPr>
        <w:t>中国CFDA、</w:t>
      </w:r>
      <w:r>
        <w:rPr>
          <w:rFonts w:hint="eastAsia" w:ascii="PMingLiU" w:hAnsi="PMingLiU" w:eastAsia="宋体"/>
          <w:bCs/>
          <w:szCs w:val="24"/>
          <w:lang w:eastAsia="zh-CN"/>
        </w:rPr>
        <w:t>美国</w:t>
      </w:r>
      <w:r>
        <w:rPr>
          <w:rFonts w:ascii="PMingLiU" w:hAnsi="PMingLiU" w:eastAsia="宋体"/>
          <w:bCs/>
          <w:szCs w:val="24"/>
          <w:lang w:eastAsia="zh-CN"/>
        </w:rPr>
        <w:t>FD</w:t>
      </w:r>
      <w:r>
        <w:rPr>
          <w:rFonts w:hAnsi="PMingLiU" w:eastAsia="宋体"/>
          <w:bCs/>
          <w:szCs w:val="24"/>
          <w:lang w:eastAsia="zh-CN"/>
        </w:rPr>
        <w:t>A、</w:t>
      </w:r>
      <w:r>
        <w:rPr>
          <w:rFonts w:hint="eastAsia" w:ascii="PMingLiU" w:hAnsi="PMingLiU" w:eastAsia="宋体"/>
          <w:bCs/>
          <w:szCs w:val="24"/>
          <w:lang w:eastAsia="zh-CN"/>
        </w:rPr>
        <w:t>欧盟</w:t>
      </w:r>
      <w:r>
        <w:rPr>
          <w:rFonts w:ascii="PMingLiU" w:hAnsi="PMingLiU" w:eastAsia="宋体"/>
          <w:bCs/>
          <w:szCs w:val="24"/>
          <w:lang w:eastAsia="zh-CN"/>
        </w:rPr>
        <w:t>CE、</w:t>
      </w:r>
      <w:r>
        <w:rPr>
          <w:rFonts w:hint="eastAsia" w:ascii="PMingLiU" w:hAnsi="PMingLiU" w:eastAsia="宋体"/>
          <w:bCs/>
          <w:szCs w:val="24"/>
          <w:lang w:eastAsia="zh-CN"/>
        </w:rPr>
        <w:t>国际医疗器械</w:t>
      </w:r>
      <w:r>
        <w:rPr>
          <w:rFonts w:ascii="PMingLiU" w:hAnsi="PMingLiU" w:eastAsia="宋体"/>
          <w:bCs/>
          <w:szCs w:val="24"/>
          <w:lang w:eastAsia="zh-CN"/>
        </w:rPr>
        <w:t>ISO 13485</w:t>
      </w:r>
    </w:p>
    <w:p>
      <w:pPr>
        <w:rPr>
          <w:rFonts w:hint="eastAsia" w:eastAsia="宋体"/>
          <w:b/>
          <w:bCs/>
        </w:rPr>
      </w:pPr>
    </w:p>
    <w:p>
      <w:pPr>
        <w:rPr>
          <w:rFonts w:hint="eastAsia"/>
          <w:b/>
          <w:bCs/>
        </w:rPr>
      </w:pPr>
      <w:r>
        <w:rPr>
          <w:rFonts w:hint="eastAsia" w:eastAsia="宋体"/>
          <w:b/>
          <w:bCs/>
        </w:rPr>
        <w:t>电器规格:</w:t>
      </w:r>
    </w:p>
    <w:p>
      <w:pPr>
        <w:rPr>
          <w:rFonts w:hint="eastAsia"/>
        </w:rPr>
      </w:pPr>
      <w:r>
        <w:rPr>
          <w:rFonts w:hint="eastAsia" w:eastAsia="宋体"/>
        </w:rPr>
        <w:t>1.额定电流： 0.9</w:t>
      </w:r>
      <w:r>
        <w:rPr>
          <w:rFonts w:eastAsia="宋体"/>
        </w:rPr>
        <w:t>A (Max)</w:t>
      </w:r>
      <w:r>
        <w:rPr>
          <w:rFonts w:hint="eastAsia" w:eastAsia="宋体"/>
        </w:rPr>
        <w:t xml:space="preserve"> </w:t>
      </w:r>
    </w:p>
    <w:p>
      <w:pPr>
        <w:rPr>
          <w:rFonts w:hint="eastAsia"/>
        </w:rPr>
      </w:pPr>
      <w:r>
        <w:rPr>
          <w:rFonts w:hint="eastAsia" w:eastAsia="宋体"/>
        </w:rPr>
        <w:t>2.输入电压：</w:t>
      </w:r>
      <w:r>
        <w:rPr>
          <w:rFonts w:eastAsia="宋体"/>
        </w:rPr>
        <w:t xml:space="preserve"> </w:t>
      </w:r>
      <w:r>
        <w:rPr>
          <w:rFonts w:hint="eastAsia" w:eastAsia="宋体"/>
        </w:rPr>
        <w:t>220~240</w:t>
      </w:r>
      <w:r>
        <w:rPr>
          <w:rFonts w:eastAsia="宋体"/>
        </w:rPr>
        <w:t xml:space="preserve"> Volts</w:t>
      </w:r>
      <w:r>
        <w:rPr>
          <w:rFonts w:hint="eastAsia" w:eastAsia="宋体"/>
        </w:rPr>
        <w:t>，50</w:t>
      </w:r>
      <w:r>
        <w:rPr>
          <w:rFonts w:eastAsia="宋体"/>
        </w:rPr>
        <w:t>Hz/60Hz</w:t>
      </w:r>
    </w:p>
    <w:p>
      <w:pPr>
        <w:rPr>
          <w:rFonts w:hint="eastAsia"/>
        </w:rPr>
      </w:pPr>
    </w:p>
    <w:p>
      <w:r>
        <w:rPr>
          <w:b/>
          <w:bCs/>
        </w:rPr>
        <w:t>临床功效</w:t>
      </w:r>
      <w:r>
        <w:t>：</w:t>
      </w:r>
    </w:p>
    <w:p>
      <w:pP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</w:pPr>
      <w:r>
        <w:rPr>
          <w:rFonts w:hint="eastAsia" w:eastAsia="宋体"/>
          <w:snapToGrid w:val="0"/>
          <w:kern w:val="0"/>
          <w:lang w:eastAsia="zh-CN"/>
        </w:rPr>
        <w:t>提供临床证据证明：缩短维持性血液透析患者内瘘熟成时间、提高</w:t>
      </w:r>
      <w:r>
        <w:rPr>
          <w:rFonts w:hint="eastAsia" w:ascii="宋体" w:hAnsi="宋体" w:eastAsia="宋体" w:cs="宋体"/>
          <w:color w:val="000000"/>
          <w:szCs w:val="24"/>
        </w:rPr>
        <w:t>患者内瘘血流量，延长瘘管使用寿命</w:t>
      </w:r>
      <w:r>
        <w:rPr>
          <w:rFonts w:hint="eastAsia" w:ascii="宋体" w:hAnsi="宋体" w:eastAsia="宋体" w:cs="宋体"/>
          <w:color w:val="000000"/>
          <w:szCs w:val="24"/>
          <w:lang w:eastAsia="zh-CN"/>
        </w:rPr>
        <w:t>，延长P</w:t>
      </w:r>
      <w:r>
        <w:rPr>
          <w:rFonts w:ascii="宋体" w:hAnsi="宋体" w:eastAsia="宋体" w:cs="宋体"/>
          <w:color w:val="000000"/>
          <w:szCs w:val="24"/>
          <w:lang w:eastAsia="zh-CN"/>
        </w:rPr>
        <w:t>TA</w:t>
      </w:r>
      <w:r>
        <w:rPr>
          <w:rFonts w:hint="eastAsia" w:ascii="宋体" w:hAnsi="宋体" w:eastAsia="宋体" w:cs="宋体"/>
          <w:color w:val="000000"/>
          <w:szCs w:val="24"/>
          <w:lang w:eastAsia="zh-CN"/>
        </w:rPr>
        <w:t>手术畅通时间，辅助治疗腹膜透析相关并发症。</w:t>
      </w:r>
    </w:p>
    <w:p>
      <w:pPr>
        <w:rPr>
          <w:b/>
          <w:bCs/>
        </w:rPr>
      </w:pPr>
      <w:r>
        <w:rPr>
          <w:rFonts w:hint="eastAsia" w:eastAsia="宋体"/>
          <w:b/>
          <w:bCs/>
        </w:rPr>
        <w:t>照射器：</w:t>
      </w:r>
    </w:p>
    <w:p>
      <w:pPr>
        <w:ind w:right="37" w:rightChars="17" w:firstLine="440" w:firstLineChars="200"/>
        <w:rPr>
          <w:rFonts w:hint="eastAsia"/>
          <w:snapToGrid w:val="0"/>
          <w:kern w:val="0"/>
          <w:highlight w:val="yellow"/>
        </w:rPr>
      </w:pPr>
      <w:r>
        <w:rPr>
          <w:rFonts w:eastAsia="宋体"/>
          <w:snapToGrid w:val="0"/>
          <w:kern w:val="0"/>
          <w:lang w:eastAsia="zh-CN"/>
        </w:rPr>
        <w:t>1.</w:t>
      </w:r>
      <w:r>
        <w:rPr>
          <w:rFonts w:hint="eastAsia" w:eastAsia="宋体"/>
          <w:snapToGrid w:val="0"/>
          <w:kern w:val="0"/>
        </w:rPr>
        <w:t>放射板：高强度耐温黑色远红外线放射板: 50</w:t>
      </w:r>
      <w:r>
        <w:rPr>
          <w:rFonts w:eastAsia="宋体"/>
          <w:snapToGrid w:val="0"/>
          <w:kern w:val="0"/>
        </w:rPr>
        <w:t>mm</w:t>
      </w:r>
      <w:r>
        <w:rPr>
          <w:rFonts w:hint="eastAsia" w:eastAsia="宋体"/>
          <w:snapToGrid w:val="0"/>
          <w:kern w:val="0"/>
        </w:rPr>
        <w:t xml:space="preserve"> </w:t>
      </w:r>
      <w:r>
        <w:rPr>
          <w:rFonts w:eastAsia="宋体"/>
          <w:snapToGrid w:val="0"/>
          <w:kern w:val="0"/>
        </w:rPr>
        <w:t>*</w:t>
      </w:r>
      <w:r>
        <w:rPr>
          <w:rFonts w:hint="eastAsia" w:eastAsia="宋体"/>
          <w:snapToGrid w:val="0"/>
          <w:kern w:val="0"/>
        </w:rPr>
        <w:t xml:space="preserve"> </w:t>
      </w:r>
      <w:r>
        <w:rPr>
          <w:rFonts w:eastAsia="宋体"/>
          <w:snapToGrid w:val="0"/>
          <w:kern w:val="0"/>
        </w:rPr>
        <w:t>100mm</w:t>
      </w:r>
      <w:r>
        <w:rPr>
          <w:rFonts w:hint="eastAsia" w:eastAsia="宋体"/>
          <w:snapToGrid w:val="0"/>
          <w:kern w:val="0"/>
        </w:rPr>
        <w:t xml:space="preserve"> </w:t>
      </w:r>
      <w:r>
        <w:rPr>
          <w:rFonts w:eastAsia="宋体"/>
          <w:snapToGrid w:val="0"/>
          <w:kern w:val="0"/>
        </w:rPr>
        <w:t>*</w:t>
      </w:r>
      <w:r>
        <w:rPr>
          <w:rFonts w:hint="eastAsia" w:eastAsia="宋体"/>
          <w:snapToGrid w:val="0"/>
          <w:kern w:val="0"/>
        </w:rPr>
        <w:t xml:space="preserve"> </w:t>
      </w:r>
      <w:r>
        <w:rPr>
          <w:rFonts w:eastAsia="宋体"/>
          <w:snapToGrid w:val="0"/>
          <w:kern w:val="0"/>
        </w:rPr>
        <w:t>4pcs</w:t>
      </w:r>
      <w:r>
        <w:rPr>
          <w:rFonts w:hint="eastAsia" w:eastAsia="宋体"/>
          <w:snapToGrid w:val="0"/>
          <w:kern w:val="0"/>
        </w:rPr>
        <w:t>，总面积200cm</w:t>
      </w:r>
      <w:r>
        <w:rPr>
          <w:rFonts w:hint="eastAsia" w:eastAsia="宋体"/>
          <w:snapToGrid w:val="0"/>
          <w:kern w:val="0"/>
          <w:vertAlign w:val="superscript"/>
        </w:rPr>
        <w:t>2</w:t>
      </w:r>
    </w:p>
    <w:p>
      <w:pPr>
        <w:ind w:right="37" w:rightChars="17" w:firstLine="330" w:firstLineChars="150"/>
        <w:rPr>
          <w:rFonts w:hint="eastAsia"/>
          <w:snapToGrid w:val="0"/>
          <w:kern w:val="0"/>
        </w:rPr>
      </w:pPr>
      <w:r>
        <w:rPr>
          <w:rFonts w:hint="eastAsia" w:eastAsia="宋体"/>
          <w:snapToGrid w:val="0"/>
          <w:kern w:val="0"/>
          <w:lang w:eastAsia="zh-CN"/>
        </w:rPr>
        <w:t>2</w:t>
      </w:r>
      <w:r>
        <w:rPr>
          <w:rFonts w:eastAsia="宋体"/>
          <w:snapToGrid w:val="0"/>
          <w:kern w:val="0"/>
          <w:lang w:eastAsia="zh-CN"/>
        </w:rPr>
        <w:t>.</w:t>
      </w:r>
      <w:r>
        <w:rPr>
          <w:rFonts w:hint="eastAsia" w:eastAsia="宋体"/>
          <w:snapToGrid w:val="0"/>
          <w:kern w:val="0"/>
        </w:rPr>
        <w:t>功率密度：照射距离30公分</w:t>
      </w:r>
      <w:r>
        <w:rPr>
          <w:rFonts w:eastAsia="宋体"/>
          <w:snapToGrid w:val="0"/>
          <w:kern w:val="0"/>
        </w:rPr>
        <w:t>,</w:t>
      </w:r>
      <w:r>
        <w:rPr>
          <w:rFonts w:hint="eastAsia" w:eastAsia="宋体"/>
          <w:snapToGrid w:val="0"/>
          <w:kern w:val="0"/>
        </w:rPr>
        <w:t>功率密度为10</w:t>
      </w:r>
      <w:r>
        <w:rPr>
          <w:rFonts w:eastAsia="宋体"/>
          <w:snapToGrid w:val="0"/>
          <w:kern w:val="0"/>
        </w:rPr>
        <w:t xml:space="preserve"> mw/cm</w:t>
      </w:r>
      <w:r>
        <w:rPr>
          <w:rFonts w:eastAsia="宋体"/>
          <w:snapToGrid w:val="0"/>
          <w:kern w:val="0"/>
          <w:vertAlign w:val="superscript"/>
        </w:rPr>
        <w:t>2</w:t>
      </w:r>
      <w:r>
        <w:rPr>
          <w:rFonts w:hint="eastAsia" w:eastAsia="宋体"/>
          <w:snapToGrid w:val="0"/>
          <w:kern w:val="0"/>
          <w:vertAlign w:val="superscript"/>
          <w:lang w:eastAsia="zh-CN"/>
        </w:rPr>
        <w:t>；</w:t>
      </w:r>
      <w:r>
        <w:rPr>
          <w:rFonts w:hint="eastAsia" w:eastAsia="宋体"/>
          <w:snapToGrid w:val="0"/>
          <w:kern w:val="0"/>
        </w:rPr>
        <w:t>照射距离</w:t>
      </w:r>
      <w:r>
        <w:rPr>
          <w:rFonts w:eastAsia="宋体"/>
          <w:snapToGrid w:val="0"/>
          <w:kern w:val="0"/>
        </w:rPr>
        <w:t>20</w:t>
      </w:r>
      <w:r>
        <w:rPr>
          <w:rFonts w:hint="eastAsia" w:eastAsia="宋体"/>
          <w:snapToGrid w:val="0"/>
          <w:kern w:val="0"/>
        </w:rPr>
        <w:t>公分</w:t>
      </w:r>
      <w:r>
        <w:rPr>
          <w:rFonts w:eastAsia="宋体"/>
          <w:snapToGrid w:val="0"/>
          <w:kern w:val="0"/>
        </w:rPr>
        <w:t>,</w:t>
      </w:r>
      <w:r>
        <w:rPr>
          <w:rFonts w:hint="eastAsia" w:eastAsia="宋体"/>
          <w:snapToGrid w:val="0"/>
          <w:kern w:val="0"/>
        </w:rPr>
        <w:t>功率密度为</w:t>
      </w:r>
      <w:r>
        <w:rPr>
          <w:rFonts w:eastAsia="宋体"/>
          <w:snapToGrid w:val="0"/>
          <w:kern w:val="0"/>
        </w:rPr>
        <w:t>20 mw/cm</w:t>
      </w:r>
      <w:r>
        <w:rPr>
          <w:rFonts w:eastAsia="宋体"/>
          <w:snapToGrid w:val="0"/>
          <w:kern w:val="0"/>
          <w:vertAlign w:val="superscript"/>
        </w:rPr>
        <w:t>2</w:t>
      </w:r>
      <w:r>
        <w:rPr>
          <w:rFonts w:hint="eastAsia" w:eastAsia="宋体"/>
          <w:snapToGrid w:val="0"/>
          <w:kern w:val="0"/>
        </w:rPr>
        <w:t xml:space="preserve">  (上述数据为强度设定在</w:t>
      </w:r>
      <w:r>
        <w:rPr>
          <w:rFonts w:hint="eastAsia" w:eastAsia="宋体"/>
          <w:snapToGrid w:val="0"/>
          <w:kern w:val="0"/>
          <w:lang w:eastAsia="zh-CN"/>
        </w:rPr>
        <w:t>强档</w:t>
      </w:r>
      <w:r>
        <w:rPr>
          <w:rFonts w:hint="eastAsia" w:eastAsia="宋体"/>
          <w:snapToGrid w:val="0"/>
          <w:kern w:val="0"/>
        </w:rPr>
        <w:t>,环境温度25℃)</w:t>
      </w:r>
    </w:p>
    <w:p>
      <w:pPr>
        <w:ind w:right="825" w:rightChars="375" w:firstLine="330" w:firstLineChars="150"/>
        <w:rPr>
          <w:rFonts w:hint="eastAsia"/>
          <w:snapToGrid w:val="0"/>
          <w:kern w:val="0"/>
        </w:rPr>
      </w:pPr>
      <w:r>
        <w:rPr>
          <w:rFonts w:hint="eastAsia" w:eastAsia="宋体"/>
          <w:snapToGrid w:val="0"/>
          <w:kern w:val="0"/>
          <w:lang w:eastAsia="zh-CN"/>
        </w:rPr>
        <w:t>3</w:t>
      </w:r>
      <w:r>
        <w:rPr>
          <w:rFonts w:eastAsia="宋体"/>
          <w:snapToGrid w:val="0"/>
          <w:kern w:val="0"/>
          <w:lang w:eastAsia="zh-CN"/>
        </w:rPr>
        <w:t xml:space="preserve">. </w:t>
      </w:r>
      <w:r>
        <w:rPr>
          <w:rFonts w:hint="eastAsia" w:eastAsia="宋体"/>
          <w:snapToGrid w:val="0"/>
          <w:kern w:val="0"/>
        </w:rPr>
        <w:t>旋转角度：双向转轴</w:t>
      </w:r>
      <w:r>
        <w:rPr>
          <w:rFonts w:eastAsia="宋体"/>
          <w:snapToGrid w:val="0"/>
          <w:kern w:val="0"/>
        </w:rPr>
        <w:t>,</w:t>
      </w:r>
      <w:r>
        <w:rPr>
          <w:rFonts w:hint="eastAsia" w:eastAsia="宋体"/>
          <w:snapToGrid w:val="0"/>
          <w:kern w:val="0"/>
        </w:rPr>
        <w:t>上下仰角120度</w:t>
      </w:r>
      <w:r>
        <w:rPr>
          <w:rFonts w:eastAsia="宋体"/>
          <w:snapToGrid w:val="0"/>
          <w:kern w:val="0"/>
        </w:rPr>
        <w:t>,</w:t>
      </w:r>
      <w:r>
        <w:rPr>
          <w:rFonts w:hint="eastAsia" w:eastAsia="宋体"/>
          <w:snapToGrid w:val="0"/>
          <w:kern w:val="0"/>
        </w:rPr>
        <w:t>左右旋转330度。</w:t>
      </w:r>
    </w:p>
    <w:p>
      <w:pPr>
        <w:ind w:right="825" w:rightChars="375" w:firstLine="330" w:firstLineChars="150"/>
        <w:rPr>
          <w:rFonts w:hint="eastAsia"/>
          <w:snapToGrid w:val="0"/>
          <w:kern w:val="0"/>
        </w:rPr>
      </w:pPr>
      <w:r>
        <w:rPr>
          <w:rFonts w:hint="eastAsia" w:eastAsia="宋体"/>
          <w:snapToGrid w:val="0"/>
          <w:kern w:val="0"/>
          <w:lang w:eastAsia="zh-CN"/>
        </w:rPr>
        <w:t>4</w:t>
      </w:r>
      <w:r>
        <w:rPr>
          <w:rFonts w:eastAsia="宋体"/>
          <w:snapToGrid w:val="0"/>
          <w:kern w:val="0"/>
          <w:lang w:eastAsia="zh-CN"/>
        </w:rPr>
        <w:t xml:space="preserve">. </w:t>
      </w:r>
      <w:r>
        <w:rPr>
          <w:rFonts w:hint="eastAsia" w:eastAsia="宋体"/>
          <w:snapToGrid w:val="0"/>
          <w:kern w:val="0"/>
        </w:rPr>
        <w:t>外壳材质：可长期耐温的金属材料。</w:t>
      </w:r>
    </w:p>
    <w:p>
      <w:pPr>
        <w:ind w:right="825" w:rightChars="375" w:firstLine="220" w:firstLineChars="100"/>
        <w:rPr>
          <w:rFonts w:hint="eastAsia"/>
          <w:snapToGrid w:val="0"/>
          <w:kern w:val="0"/>
        </w:rPr>
      </w:pPr>
      <w:r>
        <w:rPr>
          <w:rFonts w:hint="eastAsia" w:eastAsia="宋体"/>
          <w:snapToGrid w:val="0"/>
          <w:kern w:val="0"/>
          <w:lang w:eastAsia="zh-CN"/>
        </w:rPr>
        <w:t>*</w:t>
      </w:r>
      <w:r>
        <w:rPr>
          <w:rFonts w:eastAsia="宋体"/>
          <w:snapToGrid w:val="0"/>
          <w:kern w:val="0"/>
          <w:lang w:eastAsia="zh-CN"/>
        </w:rPr>
        <w:t xml:space="preserve">5. </w:t>
      </w:r>
      <w:r>
        <w:rPr>
          <w:rFonts w:hint="eastAsia" w:eastAsia="宋体"/>
          <w:snapToGrid w:val="0"/>
          <w:kern w:val="0"/>
        </w:rPr>
        <w:t>照射部位区域标示灯。开启远红外线功能时自动开启，45秒后熄灭。</w:t>
      </w:r>
    </w:p>
    <w:p>
      <w:pPr>
        <w:ind w:right="825" w:rightChars="375" w:firstLine="330" w:firstLineChars="150"/>
        <w:rPr>
          <w:rFonts w:hint="eastAsia"/>
          <w:snapToGrid w:val="0"/>
          <w:kern w:val="0"/>
        </w:rPr>
      </w:pPr>
      <w:r>
        <w:rPr>
          <w:rFonts w:hint="eastAsia" w:eastAsia="宋体"/>
          <w:snapToGrid w:val="0"/>
          <w:kern w:val="0"/>
          <w:lang w:eastAsia="zh-CN"/>
        </w:rPr>
        <w:t>6</w:t>
      </w:r>
      <w:r>
        <w:rPr>
          <w:rFonts w:eastAsia="宋体"/>
          <w:snapToGrid w:val="0"/>
          <w:kern w:val="0"/>
          <w:lang w:eastAsia="zh-CN"/>
        </w:rPr>
        <w:t>.</w:t>
      </w:r>
      <w:r>
        <w:rPr>
          <w:rFonts w:hint="eastAsia" w:eastAsia="宋体"/>
          <w:snapToGrid w:val="0"/>
          <w:kern w:val="0"/>
        </w:rPr>
        <w:t>安全防护：</w:t>
      </w:r>
    </w:p>
    <w:p>
      <w:pPr>
        <w:ind w:left="480" w:firstLine="110" w:firstLineChars="50"/>
        <w:rPr>
          <w:rFonts w:hint="eastAsia"/>
        </w:rPr>
      </w:pPr>
      <w:r>
        <w:rPr>
          <w:rFonts w:hint="eastAsia" w:eastAsia="宋体"/>
          <w:lang w:eastAsia="zh-CN"/>
        </w:rPr>
        <w:t>1．</w:t>
      </w:r>
      <w:r>
        <w:rPr>
          <w:rFonts w:hint="eastAsia" w:eastAsia="宋体"/>
        </w:rPr>
        <w:t>照射器内部导热结构，照射器外壳不烫</w:t>
      </w:r>
      <w:r>
        <w:rPr>
          <w:rFonts w:hint="eastAsia" w:ascii="PMingLiU" w:hAnsi="PMingLiU" w:eastAsia="宋体"/>
        </w:rPr>
        <w:t>。</w:t>
      </w:r>
    </w:p>
    <w:p>
      <w:pPr>
        <w:ind w:firstLine="550" w:firstLineChars="250"/>
        <w:rPr>
          <w:rFonts w:hint="eastAsia"/>
        </w:rPr>
      </w:pPr>
      <w:r>
        <w:rPr>
          <w:rFonts w:eastAsia="宋体"/>
        </w:rPr>
        <w:t>2</w:t>
      </w:r>
      <w:r>
        <w:rPr>
          <w:rFonts w:hint="eastAsia" w:eastAsia="宋体"/>
          <w:lang w:eastAsia="zh-CN"/>
        </w:rPr>
        <w:t>．</w:t>
      </w:r>
      <w:r>
        <w:rPr>
          <w:rFonts w:hint="eastAsia" w:eastAsia="宋体"/>
        </w:rPr>
        <w:t>照射器内部过热断电装置</w:t>
      </w:r>
      <w:r>
        <w:rPr>
          <w:rFonts w:hint="eastAsia" w:ascii="PMingLiU" w:hAnsi="PMingLiU" w:eastAsia="宋体"/>
        </w:rPr>
        <w:t>。</w:t>
      </w:r>
    </w:p>
    <w:p>
      <w:pPr>
        <w:ind w:firstLine="550" w:firstLineChars="250"/>
        <w:rPr>
          <w:rFonts w:hint="eastAsia"/>
        </w:rPr>
      </w:pPr>
      <w:r>
        <w:rPr>
          <w:rFonts w:eastAsia="宋体"/>
        </w:rPr>
        <w:t xml:space="preserve">3. </w:t>
      </w:r>
      <w:r>
        <w:rPr>
          <w:rFonts w:hint="eastAsia" w:eastAsia="宋体"/>
        </w:rPr>
        <w:t>可挠式安全距离提示杆</w:t>
      </w:r>
      <w:r>
        <w:rPr>
          <w:rFonts w:hint="eastAsia" w:ascii="PMingLiU" w:hAnsi="PMingLiU" w:eastAsia="宋体"/>
        </w:rPr>
        <w:t>。</w:t>
      </w:r>
    </w:p>
    <w:p>
      <w:pPr>
        <w:ind w:firstLine="440" w:firstLineChars="200"/>
        <w:rPr>
          <w:rFonts w:hint="eastAsia" w:ascii="PMingLiU" w:hAnsi="PMingLiU" w:eastAsia="宋体"/>
          <w:lang w:eastAsia="zh-CN"/>
        </w:rPr>
      </w:pPr>
      <w:r>
        <w:rPr>
          <w:rFonts w:hint="eastAsia" w:eastAsia="宋体"/>
          <w:snapToGrid w:val="0"/>
          <w:kern w:val="0"/>
          <w:lang w:eastAsia="zh-CN"/>
        </w:rPr>
        <w:t>*</w:t>
      </w:r>
      <w:r>
        <w:rPr>
          <w:rFonts w:eastAsia="宋体"/>
          <w:snapToGrid w:val="0"/>
          <w:kern w:val="0"/>
          <w:lang w:eastAsia="zh-CN"/>
        </w:rPr>
        <w:t>4</w:t>
      </w:r>
      <w:r>
        <w:rPr>
          <w:rFonts w:hint="eastAsia" w:eastAsia="宋体"/>
          <w:snapToGrid w:val="0"/>
          <w:kern w:val="0"/>
          <w:lang w:eastAsia="zh-CN"/>
        </w:rPr>
        <w:t>.</w:t>
      </w:r>
      <w:r>
        <w:rPr>
          <w:rFonts w:ascii="PMingLiU" w:hAnsi="PMingLiU" w:eastAsia="宋体"/>
          <w:lang w:eastAsia="zh-CN"/>
        </w:rPr>
        <w:t xml:space="preserve"> </w:t>
      </w:r>
      <w:r>
        <w:rPr>
          <w:rFonts w:hint="eastAsia" w:ascii="PMingLiU" w:hAnsi="PMingLiU" w:eastAsia="宋体"/>
        </w:rPr>
        <w:t>长距防护网。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 w:eastAsia="宋体"/>
          <w:b/>
          <w:bCs/>
        </w:rPr>
        <w:t>控制箱：</w:t>
      </w:r>
    </w:p>
    <w:p>
      <w:pPr>
        <w:rPr>
          <w:rFonts w:hint="eastAsia"/>
        </w:rPr>
      </w:pPr>
      <w:r>
        <w:rPr>
          <w:rFonts w:hint="eastAsia" w:eastAsia="宋体"/>
        </w:rPr>
        <w:t>1. 操  作  键  ：触动开关</w:t>
      </w:r>
    </w:p>
    <w:p>
      <w:pPr>
        <w:rPr>
          <w:rFonts w:hint="eastAsia"/>
        </w:rPr>
      </w:pPr>
      <w:r>
        <w:rPr>
          <w:rFonts w:hint="eastAsia" w:eastAsia="宋体"/>
        </w:rPr>
        <w:t>2. 定  时  器  ：(</w:t>
      </w:r>
      <w:r>
        <w:rPr>
          <w:rFonts w:eastAsia="宋体"/>
        </w:rPr>
        <w:t>1)</w:t>
      </w:r>
      <w:r>
        <w:rPr>
          <w:rFonts w:hint="eastAsia" w:eastAsia="宋体"/>
        </w:rPr>
        <w:t>4位数七段显示</w:t>
      </w:r>
    </w:p>
    <w:p>
      <w:pPr>
        <w:ind w:firstLine="1540" w:firstLineChars="700"/>
        <w:rPr>
          <w:rFonts w:hint="eastAsia"/>
        </w:rPr>
      </w:pPr>
      <w:r>
        <w:rPr>
          <w:rFonts w:eastAsia="宋体"/>
        </w:rPr>
        <w:t>(2)</w:t>
      </w:r>
      <w:r>
        <w:rPr>
          <w:rFonts w:hint="eastAsia" w:eastAsia="宋体"/>
        </w:rPr>
        <w:t>时间设定范围</w:t>
      </w:r>
      <w:r>
        <w:rPr>
          <w:rFonts w:eastAsia="宋体"/>
        </w:rPr>
        <w:t>5</w:t>
      </w:r>
      <w:r>
        <w:rPr>
          <w:rFonts w:hint="eastAsia" w:eastAsia="宋体"/>
        </w:rPr>
        <w:t>分钟~90分钟</w:t>
      </w:r>
    </w:p>
    <w:p>
      <w:pPr>
        <w:ind w:firstLine="1540" w:firstLineChars="700"/>
        <w:rPr>
          <w:rFonts w:hint="eastAsia"/>
          <w:highlight w:val="yellow"/>
        </w:rPr>
      </w:pPr>
      <w:r>
        <w:rPr>
          <w:rFonts w:hint="eastAsia" w:eastAsia="宋体"/>
        </w:rPr>
        <w:t xml:space="preserve"> (3)连续使用功能设定：可作长时间(最长10小时)照射特殊用途</w:t>
      </w:r>
    </w:p>
    <w:p>
      <w:pPr>
        <w:rPr>
          <w:rFonts w:hint="eastAsia"/>
        </w:rPr>
      </w:pPr>
      <w:r>
        <w:rPr>
          <w:rFonts w:hint="eastAsia" w:eastAsia="宋体"/>
        </w:rPr>
        <w:t>3. 强 度 设 定 ：弱(low)、中(Med)、强(high)三种。</w:t>
      </w:r>
    </w:p>
    <w:p>
      <w:pPr>
        <w:rPr>
          <w:rFonts w:hint="eastAsia"/>
          <w:highlight w:val="yellow"/>
        </w:rPr>
      </w:pPr>
      <w:r>
        <w:rPr>
          <w:rFonts w:hint="eastAsia" w:eastAsia="宋体"/>
        </w:rPr>
        <w:t>4. 全自动设定：</w:t>
      </w:r>
      <w:r>
        <w:rPr>
          <w:rFonts w:hint="eastAsia" w:eastAsia="宋体"/>
          <w:lang w:eastAsia="zh-CN"/>
        </w:rPr>
        <w:t>*</w:t>
      </w:r>
      <w:r>
        <w:rPr>
          <w:rFonts w:hint="eastAsia" w:eastAsia="宋体"/>
        </w:rPr>
        <w:t>单键快速设定</w:t>
      </w:r>
      <w:r>
        <w:rPr>
          <w:rFonts w:eastAsia="宋体"/>
        </w:rPr>
        <w:t>,</w:t>
      </w:r>
      <w:r>
        <w:rPr>
          <w:rFonts w:hint="eastAsia" w:eastAsia="宋体"/>
        </w:rPr>
        <w:t>二种全自动设定模式:二种模式可因应各医疗院所不同用途</w:t>
      </w:r>
    </w:p>
    <w:p>
      <w:pPr>
        <w:ind w:firstLine="1980" w:firstLineChars="900"/>
        <w:rPr>
          <w:rFonts w:hint="eastAsia"/>
        </w:rPr>
      </w:pPr>
      <w:r>
        <w:rPr>
          <w:rFonts w:hint="eastAsia" w:eastAsia="宋体"/>
        </w:rPr>
        <w:t>(模式一)强度:强档，时间:40分钟</w:t>
      </w:r>
    </w:p>
    <w:p>
      <w:pPr>
        <w:ind w:firstLine="1980" w:firstLineChars="900"/>
        <w:rPr>
          <w:rFonts w:hint="eastAsia"/>
        </w:rPr>
      </w:pPr>
      <w:r>
        <w:rPr>
          <w:rFonts w:hint="eastAsia" w:eastAsia="宋体"/>
        </w:rPr>
        <w:t>(模式二)强度:强档，时间:20分钟</w:t>
      </w:r>
    </w:p>
    <w:p>
      <w:pPr>
        <w:ind w:firstLine="1980" w:firstLineChars="900"/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宋体"/>
          <w:b/>
          <w:bCs/>
        </w:rPr>
        <w:t>悬吊手臂：</w:t>
      </w:r>
      <w:r>
        <w:rPr>
          <w:rFonts w:hint="eastAsia" w:eastAsia="宋体"/>
        </w:rPr>
        <w:t>二节屈伸</w:t>
      </w:r>
      <w:r>
        <w:rPr>
          <w:rFonts w:eastAsia="宋体"/>
        </w:rPr>
        <w:t>,</w:t>
      </w:r>
      <w:r>
        <w:rPr>
          <w:rFonts w:hint="eastAsia" w:eastAsia="宋体"/>
        </w:rPr>
        <w:t>随意平衡式。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宋体"/>
          <w:b/>
          <w:bCs/>
        </w:rPr>
        <w:t>高低升降杆</w:t>
      </w:r>
      <w:r>
        <w:rPr>
          <w:rFonts w:hint="eastAsia" w:eastAsia="宋体"/>
        </w:rPr>
        <w:t>：气压无段式升降。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 w:eastAsia="宋体"/>
          <w:b/>
          <w:bCs/>
        </w:rPr>
        <w:t>底座：</w:t>
      </w:r>
      <w:r>
        <w:rPr>
          <w:rFonts w:hint="eastAsia" w:eastAsia="宋体"/>
        </w:rPr>
        <w:t>(1)五爪式带轮塑胶底座</w:t>
      </w:r>
    </w:p>
    <w:p>
      <w:pPr>
        <w:jc w:val="both"/>
        <w:rPr>
          <w:rFonts w:hint="eastAsia"/>
        </w:rPr>
      </w:pPr>
      <w:r>
        <w:rPr>
          <w:rFonts w:hint="eastAsia" w:eastAsia="宋体"/>
        </w:rPr>
        <w:t xml:space="preserve">      (2)防倾倒底座加稳装置</w:t>
      </w:r>
      <w:r>
        <w:rPr>
          <w:rFonts w:eastAsia="宋体"/>
        </w:rPr>
        <w:t>(注水式)</w:t>
      </w:r>
      <w:r>
        <w:rPr>
          <w:rFonts w:hint="eastAsia" w:eastAsia="宋体"/>
        </w:rPr>
        <w:t>:材质：</w:t>
      </w:r>
      <w:r>
        <w:rPr>
          <w:rFonts w:eastAsia="宋体"/>
        </w:rPr>
        <w:t xml:space="preserve">高密度PE </w:t>
      </w:r>
      <w:r>
        <w:rPr>
          <w:rFonts w:hint="eastAsia" w:eastAsia="宋体"/>
        </w:rPr>
        <w:t>规格</w:t>
      </w:r>
      <w:r>
        <w:rPr>
          <w:rFonts w:eastAsia="宋体"/>
        </w:rPr>
        <w:t>: 可注水 7 L(KG)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/>
          <w:sz w:val="24"/>
          <w:szCs w:val="24"/>
        </w:rPr>
        <w:t>日09:00，超过截止时间的投标将被拒绝（★）。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華康中黑體">
    <w:altName w:val="Microsoft JhengHei"/>
    <w:panose1 w:val="020B0604020202020204"/>
    <w:charset w:val="78"/>
    <w:family w:val="modern"/>
    <w:pitch w:val="default"/>
    <w:sig w:usb0="00000000" w:usb1="00000000" w:usb2="00000016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1B0221F"/>
    <w:rsid w:val="067F1744"/>
    <w:rsid w:val="08C7118C"/>
    <w:rsid w:val="21D5478E"/>
    <w:rsid w:val="3A5566B8"/>
    <w:rsid w:val="5B1A0C54"/>
    <w:rsid w:val="5BE025F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3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2021-12-17T08:25:36Z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CCA0D412492E4B478B2BE66261077FD0</vt:lpwstr>
  </property>
</Properties>
</file>