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血气分析仪</w:t>
      </w:r>
      <w:r>
        <w:rPr>
          <w:rFonts w:hint="eastAsia" w:ascii="黑体" w:hAnsi="黑体" w:eastAsia="黑体"/>
          <w:sz w:val="44"/>
          <w:szCs w:val="44"/>
        </w:rPr>
        <w:t>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血气分析仪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100000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血气分析仪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血气分析仪招标参数</w:t>
      </w:r>
    </w:p>
    <w:p>
      <w:pPr>
        <w:rPr>
          <w:rFonts w:hint="eastAsia" w:ascii="黑体" w:eastAsia="黑体"/>
        </w:rPr>
      </w:pPr>
    </w:p>
    <w:p>
      <w:pPr>
        <w:rPr>
          <w:rFonts w:hint="eastAsia"/>
        </w:rPr>
      </w:pP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检测项目：可同时检测PH、PCO</w:t>
      </w:r>
      <w:r>
        <w:rPr>
          <w:rFonts w:hint="eastAsia"/>
          <w:sz w:val="32"/>
          <w:szCs w:val="32"/>
          <w:vertAlign w:val="subscript"/>
        </w:rPr>
        <w:t>2</w:t>
      </w:r>
      <w:r>
        <w:rPr>
          <w:rFonts w:hint="eastAsia"/>
          <w:sz w:val="32"/>
          <w:szCs w:val="32"/>
        </w:rPr>
        <w:t>、PO</w:t>
      </w:r>
      <w:r>
        <w:rPr>
          <w:rFonts w:hint="eastAsia"/>
          <w:sz w:val="32"/>
          <w:szCs w:val="32"/>
          <w:vertAlign w:val="subscript"/>
        </w:rPr>
        <w:t>2</w:t>
      </w:r>
      <w:r>
        <w:rPr>
          <w:rFonts w:hint="eastAsia"/>
          <w:sz w:val="32"/>
          <w:szCs w:val="32"/>
        </w:rPr>
        <w:t>、Hct，计算项达20项.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样本体积≤150μL，标本类型为动脉全血、静脉全血、毛细血管血液。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测试方法：电极法。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质控系统：内部自动质控。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电极完全免维护，无需更换电极膜及电极卡。.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 w:ascii="宋体" w:cs="宋体"/>
          <w:bCs/>
          <w:color w:val="000000"/>
          <w:kern w:val="0"/>
          <w:sz w:val="32"/>
          <w:szCs w:val="32"/>
        </w:rPr>
        <w:t>管道系统、气体及废液处理维护免维护，无需人工操作。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定标：自动一点和两点定标，可随时进行手动定标。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测试时间：≤100s</w:t>
      </w:r>
      <w:r>
        <w:rPr>
          <w:rFonts w:hint="eastAsia"/>
          <w:color w:val="FF0000"/>
          <w:sz w:val="32"/>
          <w:szCs w:val="32"/>
        </w:rPr>
        <w:t>.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仪器自带数据存储功能，病人数据和质控数据的存储不得少于8000例。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彩色触摸显示屏，支持</w:t>
      </w:r>
      <w:r>
        <w:rPr>
          <w:sz w:val="32"/>
          <w:szCs w:val="32"/>
        </w:rPr>
        <w:t>分辨率640*480</w:t>
      </w:r>
      <w:r>
        <w:rPr>
          <w:rFonts w:hint="eastAsia"/>
          <w:sz w:val="32"/>
          <w:szCs w:val="32"/>
        </w:rPr>
        <w:t>，提供RS232接口和网络接口。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用户可以通过Internet对仪器进行远程控制。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用户可自定义测量单位，数据打印形式，参考及报警范围，和质控检测间隔。</w:t>
      </w:r>
    </w:p>
    <w:p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负责与医院LIS系统连接费用，整机保修三年</w:t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bookmarkStart w:id="0" w:name="_GoBack"/>
      <w:bookmarkEnd w:id="0"/>
    </w:p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40E109D"/>
    <w:rsid w:val="3A5566B8"/>
    <w:rsid w:val="3B9A4450"/>
    <w:rsid w:val="4E415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1</TotalTime>
  <ScaleCrop>false</ScaleCrop>
  <LinksUpToDate>false</LinksUpToDate>
  <CharactersWithSpaces>2796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2021-12-31T08:38:44Z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C2C742A814564894959AC5285DBE3B28</vt:lpwstr>
  </property>
</Properties>
</file>