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显微病理图文工作站招标</w:t>
      </w:r>
      <w:r>
        <w:rPr>
          <w:rFonts w:hint="eastAsia" w:ascii="黑体" w:hAnsi="黑体" w:eastAsia="黑体"/>
          <w:sz w:val="44"/>
          <w:szCs w:val="44"/>
        </w:rPr>
        <w:t>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显微病理图文工作站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380000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病理科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显微病理图文工作站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380000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spacing w:line="480" w:lineRule="auto"/>
        <w:ind w:firstLine="2881" w:firstLineChars="800"/>
        <w:rPr>
          <w:rStyle w:val="14"/>
          <w:rFonts w:hint="eastAsia"/>
          <w:b/>
          <w:kern w:val="44"/>
          <w:sz w:val="36"/>
          <w:szCs w:val="20"/>
          <w:lang w:val="en-US" w:eastAsia="zh-CN" w:bidi="ar-SA"/>
        </w:rPr>
      </w:pPr>
      <w:r>
        <w:rPr>
          <w:rStyle w:val="14"/>
          <w:rFonts w:hint="eastAsia"/>
          <w:b/>
          <w:kern w:val="44"/>
          <w:sz w:val="36"/>
          <w:szCs w:val="20"/>
          <w:lang w:val="en-US" w:eastAsia="zh-CN" w:bidi="ar-SA"/>
        </w:rPr>
        <w:t>显微病理图文工作站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主要技术指标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1、 研究级正置显微镜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2、研究级正置显微镜，可作明场观察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*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3、光学系统：无限远校正光学系统，齐焦距离必须为国际标准45mm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4、调焦系统：载物台垂直运动方向距离不小于25mm，带聚焦粗调限位器，粗调旋钮扭矩可调，最小微调刻度单位≤1微米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5、观察镜筒：宽场三目观察筒，倾角为30°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6、照明装置：内置透射光柯勒照明器，高亮度LED(强度大于12V100W卤素灯)，可选配加装色温调整滤光片。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*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7、物镜：平场消色差物镜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4X（N.A. 0.1，W.D. 18.5）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10X（N.A. 0.25，W.D. 10.6）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20X（N.A. 0.4，W.D. 1.2 spring）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40X（N.A. 0.65，W.D. 0.6 spring）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8、载物台：人机工程学、右手、低位置同轴驱动选钮的高抗磨损性陶瓷覆盖层载物台。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GB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9、目镜：10X宽视野目镜，带屈光度校准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GB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10、物镜转盘：五孔位物镜转盘</w:t>
      </w:r>
    </w:p>
    <w:p>
      <w:pPr>
        <w:spacing w:line="480" w:lineRule="auto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11、摇摆式聚光镜：</w:t>
      </w:r>
      <w:r>
        <w:rPr>
          <w:rFonts w:hint="eastAsia" w:ascii="宋体" w:hAnsi="宋体"/>
          <w:bCs/>
          <w:sz w:val="24"/>
          <w:szCs w:val="24"/>
          <w:lang w:val="en-GB" w:eastAsia="zh-CN"/>
        </w:rPr>
        <w:t>N.A.值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0.9-0.16</w:t>
      </w:r>
    </w:p>
    <w:p>
      <w:p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12可查看病例的基本信息、临床诊断信息。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根据登录用户身份，自动提示该用户的工作列表等。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Style w:val="14"/>
          <w:rFonts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13、自动提示该病例的历史病理结果和同次送检的其他标本检查情况。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Style w:val="14"/>
          <w:rFonts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14、提供同一病理号（或冰冻号）不限次数的独立冰冻报告。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15、提供“冰冻-石蜡”诊断对照功能。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16、适应病理报告三级医生负责制。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17、针对七类小标本和十三类大标本肿瘤疾病，提供国际先进的“结构化报告”标准报告模版。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18、病理诊断结果智能匹配提示功能。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19、可发出内部医嘱要求。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20、通过病例状态颜色来标记当前病例在病理科所处的流程状态。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21、提供报告应发时间管理。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22、提供多种病理科工作量统计报表。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23、提供多种符合率统计报表。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24、提供多种报告时间统计报表。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Style w:val="14"/>
          <w:rFonts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25、和科内现有网络系统兼容，并和全院系统联网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26、品牌电脑一套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27、显微镜专用高清相机一套</w:t>
      </w:r>
    </w:p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12F65B85"/>
    <w:rsid w:val="21D5478E"/>
    <w:rsid w:val="2F126D27"/>
    <w:rsid w:val="340E109D"/>
    <w:rsid w:val="3A5566B8"/>
    <w:rsid w:val="3B9A4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2</TotalTime>
  <ScaleCrop>false</ScaleCrop>
  <LinksUpToDate>false</LinksUpToDate>
  <CharactersWithSpaces>2796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2022-01-14T06:34:17Z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1AE88078E0554FEBA7C379A26188B646</vt:lpwstr>
  </property>
</Properties>
</file>