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 w:firstLine="11352"/>
        <w:jc w:val="center"/>
        <w:rPr>
          <w:rFonts w:hint="default"/>
          <w:b/>
          <w:sz w:val="36"/>
        </w:rPr>
      </w:pPr>
    </w:p>
    <w:p>
      <w:pPr>
        <w:ind w:right="4" w:firstLine="11352"/>
        <w:jc w:val="center"/>
        <w:rPr>
          <w:rFonts w:hint="default"/>
          <w:b/>
          <w:sz w:val="36"/>
        </w:rPr>
      </w:pPr>
    </w:p>
    <w:p>
      <w:pPr>
        <w:jc w:val="center"/>
        <w:rPr>
          <w:rFonts w:hint="eastAsia" w:ascii="Times New Roman" w:hAnsi="Times New Roman" w:eastAsia="宋体"/>
          <w:b/>
          <w:sz w:val="44"/>
          <w:lang w:eastAsia="zh-CN"/>
        </w:rPr>
      </w:pPr>
      <w:r>
        <w:rPr>
          <w:rFonts w:hint="eastAsia" w:ascii="Times New Roman" w:hAnsi="Times New Roman"/>
          <w:b/>
          <w:sz w:val="44"/>
          <w:lang w:eastAsia="zh-CN"/>
        </w:rPr>
        <w:t>浏阳市人民医院小项目预算、</w:t>
      </w:r>
      <w:r>
        <w:rPr>
          <w:rFonts w:hint="eastAsia" w:ascii="Times New Roman" w:hAnsi="Times New Roman"/>
          <w:b/>
          <w:sz w:val="44"/>
          <w:lang w:val="en-US" w:eastAsia="zh-CN"/>
        </w:rPr>
        <w:t>结算</w:t>
      </w:r>
      <w:r>
        <w:rPr>
          <w:rFonts w:hint="eastAsia" w:ascii="Times New Roman" w:hAnsi="Times New Roman"/>
          <w:b/>
          <w:sz w:val="44"/>
          <w:lang w:eastAsia="zh-CN"/>
        </w:rPr>
        <w:t>定点单位入围招标</w:t>
      </w: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eastAsia" w:ascii="仿宋" w:hAnsi="仿宋" w:eastAsia="仿宋" w:cs="仿宋"/>
          <w:b/>
          <w:sz w:val="130"/>
          <w:szCs w:val="130"/>
        </w:rPr>
      </w:pPr>
      <w:r>
        <w:rPr>
          <w:rFonts w:hint="eastAsia" w:ascii="仿宋" w:hAnsi="仿宋" w:eastAsia="仿宋" w:cs="仿宋"/>
          <w:b/>
          <w:sz w:val="130"/>
          <w:szCs w:val="130"/>
        </w:rPr>
        <w:t>招 标 文 件</w:t>
      </w:r>
    </w:p>
    <w:p>
      <w:pPr>
        <w:rPr>
          <w:rFonts w:hint="default"/>
        </w:rPr>
      </w:pPr>
    </w:p>
    <w:p>
      <w:pPr>
        <w:rPr>
          <w:rFonts w:hint="default"/>
        </w:rPr>
      </w:pPr>
    </w:p>
    <w:p>
      <w:pPr>
        <w:jc w:val="center"/>
        <w:rPr>
          <w:rFonts w:hint="default" w:ascii="Times New Roman" w:hAnsi="Times New Roman"/>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napToGrid w:val="0"/>
        <w:spacing w:line="360" w:lineRule="auto"/>
        <w:jc w:val="center"/>
        <w:textAlignment w:val="baseline"/>
        <w:rPr>
          <w:rFonts w:hint="default" w:ascii="黑体" w:eastAsia="黑体"/>
          <w:sz w:val="30"/>
        </w:rPr>
      </w:pPr>
    </w:p>
    <w:p>
      <w:pPr>
        <w:snapToGrid w:val="0"/>
        <w:spacing w:line="360" w:lineRule="auto"/>
        <w:ind w:firstLine="2520" w:firstLineChars="900"/>
        <w:jc w:val="both"/>
        <w:textAlignment w:val="baseline"/>
        <w:rPr>
          <w:rFonts w:hint="eastAsia" w:ascii="黑体" w:eastAsia="黑体"/>
          <w:sz w:val="28"/>
          <w:szCs w:val="28"/>
          <w:lang w:eastAsia="zh-CN"/>
        </w:rPr>
      </w:pPr>
      <w:r>
        <w:rPr>
          <w:rFonts w:ascii="黑体" w:eastAsia="黑体"/>
          <w:sz w:val="28"/>
          <w:szCs w:val="28"/>
        </w:rPr>
        <w:t>招   标   人：</w:t>
      </w:r>
      <w:r>
        <w:rPr>
          <w:rFonts w:hint="eastAsia" w:ascii="黑体" w:eastAsia="黑体"/>
          <w:sz w:val="28"/>
          <w:szCs w:val="28"/>
          <w:lang w:eastAsia="zh-CN"/>
        </w:rPr>
        <w:t>浏阳市人民医院</w:t>
      </w:r>
    </w:p>
    <w:p>
      <w:pPr>
        <w:snapToGrid w:val="0"/>
        <w:spacing w:line="360" w:lineRule="auto"/>
        <w:jc w:val="center"/>
        <w:textAlignment w:val="baseline"/>
        <w:rPr>
          <w:rFonts w:hint="eastAsia" w:ascii="黑体" w:eastAsia="黑体"/>
          <w:sz w:val="28"/>
          <w:szCs w:val="28"/>
          <w:lang w:eastAsia="zh-CN"/>
        </w:rPr>
      </w:pPr>
    </w:p>
    <w:p>
      <w:pPr>
        <w:spacing w:line="360" w:lineRule="auto"/>
        <w:jc w:val="center"/>
        <w:rPr>
          <w:rFonts w:hint="default" w:ascii="Times New Roman" w:hAnsi="Times New Roman"/>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460" w:right="991" w:bottom="1418" w:left="1588" w:header="907" w:footer="737" w:gutter="0"/>
          <w:pgNumType w:start="0"/>
          <w:cols w:space="720" w:num="1"/>
          <w:titlePg/>
          <w:docGrid w:linePitch="312" w:charSpace="0"/>
        </w:sectPr>
      </w:pPr>
      <w:r>
        <w:rPr>
          <w:rFonts w:ascii="黑体" w:eastAsia="黑体"/>
          <w:sz w:val="28"/>
          <w:szCs w:val="28"/>
        </w:rPr>
        <w:t>二〇</w:t>
      </w:r>
      <w:r>
        <w:rPr>
          <w:rFonts w:hint="eastAsia" w:ascii="黑体" w:eastAsia="黑体"/>
          <w:sz w:val="28"/>
          <w:szCs w:val="28"/>
          <w:lang w:eastAsia="zh-CN"/>
        </w:rPr>
        <w:t>二</w:t>
      </w:r>
      <w:r>
        <w:rPr>
          <w:rFonts w:hint="eastAsia" w:ascii="黑体" w:eastAsia="黑体"/>
          <w:sz w:val="28"/>
          <w:szCs w:val="28"/>
          <w:lang w:val="en-US" w:eastAsia="zh-CN"/>
        </w:rPr>
        <w:t>二</w:t>
      </w:r>
      <w:r>
        <w:rPr>
          <w:rFonts w:ascii="黑体" w:eastAsia="黑体"/>
          <w:sz w:val="28"/>
          <w:szCs w:val="28"/>
        </w:rPr>
        <w:t>年</w:t>
      </w:r>
      <w:r>
        <w:rPr>
          <w:rFonts w:hint="eastAsia" w:ascii="黑体" w:eastAsia="黑体"/>
          <w:sz w:val="28"/>
          <w:szCs w:val="28"/>
          <w:lang w:eastAsia="zh-CN"/>
        </w:rPr>
        <w:t>一</w:t>
      </w:r>
      <w:r>
        <w:rPr>
          <w:rFonts w:ascii="黑体" w:eastAsia="黑体"/>
          <w:sz w:val="28"/>
          <w:szCs w:val="28"/>
        </w:rPr>
        <w:t>月</w:t>
      </w:r>
    </w:p>
    <w:p>
      <w:pPr>
        <w:spacing w:line="480" w:lineRule="auto"/>
        <w:ind w:firstLine="1979" w:firstLineChars="704"/>
        <w:rPr>
          <w:rFonts w:hint="default" w:ascii="Times New Roman" w:hAnsi="Times New Roman"/>
          <w:b/>
          <w:sz w:val="28"/>
          <w:szCs w:val="28"/>
        </w:rPr>
      </w:pPr>
    </w:p>
    <w:p>
      <w:pPr>
        <w:spacing w:line="360" w:lineRule="auto"/>
        <w:jc w:val="center"/>
        <w:rPr>
          <w:rFonts w:hint="default"/>
          <w:sz w:val="44"/>
        </w:rPr>
      </w:pPr>
    </w:p>
    <w:p>
      <w:pPr>
        <w:spacing w:line="360" w:lineRule="auto"/>
        <w:jc w:val="center"/>
        <w:rPr>
          <w:rFonts w:hint="default"/>
          <w:sz w:val="44"/>
        </w:rPr>
      </w:pPr>
      <w:r>
        <w:rPr>
          <w:sz w:val="44"/>
        </w:rPr>
        <w:t xml:space="preserve">目    录 </w:t>
      </w:r>
    </w:p>
    <w:p>
      <w:pPr>
        <w:spacing w:line="360" w:lineRule="auto"/>
        <w:jc w:val="center"/>
        <w:rPr>
          <w:rFonts w:hint="default"/>
          <w:sz w:val="44"/>
        </w:rPr>
      </w:pPr>
    </w:p>
    <w:p>
      <w:pPr>
        <w:pStyle w:val="12"/>
        <w:tabs>
          <w:tab w:val="right" w:leader="dot" w:pos="9010"/>
        </w:tabs>
        <w:spacing w:line="480" w:lineRule="auto"/>
        <w:rPr>
          <w:rFonts w:hint="default" w:ascii="Calibri" w:hAnsi="Calibri"/>
          <w:bCs/>
          <w:caps w:val="0"/>
          <w:sz w:val="21"/>
        </w:rPr>
      </w:pPr>
      <w:r>
        <w:rPr>
          <w:rFonts w:hint="default" w:ascii="黑体" w:hAnsi="黑体" w:eastAsia="黑体"/>
          <w:bCs/>
          <w:caps w:val="0"/>
          <w:smallCaps/>
          <w:sz w:val="24"/>
          <w:szCs w:val="24"/>
        </w:rPr>
        <w:fldChar w:fldCharType="begin"/>
      </w:r>
      <w:r>
        <w:rPr>
          <w:rFonts w:hint="default" w:ascii="黑体" w:hAnsi="黑体" w:eastAsia="黑体"/>
          <w:bCs/>
          <w:caps w:val="0"/>
          <w:smallCaps/>
          <w:sz w:val="24"/>
          <w:szCs w:val="24"/>
        </w:rPr>
        <w:instrText xml:space="preserve"> TOC \o "1-3" \h \z \u </w:instrText>
      </w:r>
      <w:r>
        <w:rPr>
          <w:rFonts w:hint="default" w:ascii="黑体" w:hAnsi="黑体" w:eastAsia="黑体"/>
          <w:bCs/>
          <w:caps w:val="0"/>
          <w:smallCaps/>
          <w:sz w:val="24"/>
          <w:szCs w:val="24"/>
        </w:rPr>
        <w:fldChar w:fldCharType="separate"/>
      </w:r>
      <w:r>
        <w:fldChar w:fldCharType="begin"/>
      </w:r>
      <w:r>
        <w:instrText xml:space="preserve"> HYPERLINK \l "_Toc431071426" </w:instrText>
      </w:r>
      <w:r>
        <w:fldChar w:fldCharType="separate"/>
      </w:r>
      <w:r>
        <w:rPr>
          <w:rStyle w:val="26"/>
          <w:rFonts w:ascii="宋体"/>
          <w:bCs/>
          <w:color w:val="auto"/>
        </w:rPr>
        <w:t>第一章  招标公告</w:t>
      </w:r>
      <w:r>
        <w:rPr>
          <w:bCs/>
        </w:rPr>
        <w:tab/>
      </w:r>
      <w:r>
        <w:rPr>
          <w:bCs/>
        </w:rPr>
        <w:fldChar w:fldCharType="begin"/>
      </w:r>
      <w:r>
        <w:rPr>
          <w:bCs/>
        </w:rPr>
        <w:instrText xml:space="preserve"> PAGEREF _Toc431071426 \h </w:instrText>
      </w:r>
      <w:r>
        <w:rPr>
          <w:bCs/>
        </w:rPr>
        <w:fldChar w:fldCharType="separate"/>
      </w:r>
      <w:r>
        <w:rPr>
          <w:bCs/>
        </w:rPr>
        <w:t>1</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"_Toc431071427" </w:instrText>
      </w:r>
      <w:r>
        <w:fldChar w:fldCharType="separate"/>
      </w:r>
      <w:r>
        <w:rPr>
          <w:rStyle w:val="26"/>
          <w:rFonts w:ascii="宋体"/>
          <w:bCs/>
          <w:color w:val="auto"/>
        </w:rPr>
        <w:t>第二章  投标人须知</w:t>
      </w:r>
      <w:r>
        <w:rPr>
          <w:bCs/>
        </w:rPr>
        <w:tab/>
      </w:r>
      <w:r>
        <w:rPr>
          <w:bCs/>
        </w:rPr>
        <w:fldChar w:fldCharType="begin"/>
      </w:r>
      <w:r>
        <w:rPr>
          <w:bCs/>
        </w:rPr>
        <w:instrText xml:space="preserve"> PAGEREF _Toc431071427 \h </w:instrText>
      </w:r>
      <w:r>
        <w:rPr>
          <w:bCs/>
        </w:rPr>
        <w:fldChar w:fldCharType="separate"/>
      </w:r>
      <w:r>
        <w:rPr>
          <w:bCs/>
        </w:rPr>
        <w:t>5</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"_Toc431071428" </w:instrText>
      </w:r>
      <w:r>
        <w:fldChar w:fldCharType="separate"/>
      </w:r>
      <w:r>
        <w:rPr>
          <w:rStyle w:val="26"/>
          <w:rFonts w:ascii="宋体"/>
          <w:bCs/>
          <w:color w:val="auto"/>
        </w:rPr>
        <w:t>第三章  评标办法</w:t>
      </w:r>
      <w:r>
        <w:rPr>
          <w:bCs/>
        </w:rPr>
        <w:tab/>
      </w:r>
      <w:r>
        <w:rPr>
          <w:bCs/>
        </w:rPr>
        <w:fldChar w:fldCharType="begin"/>
      </w:r>
      <w:r>
        <w:rPr>
          <w:bCs/>
        </w:rPr>
        <w:instrText xml:space="preserve"> PAGEREF _Toc431071428 \h </w:instrText>
      </w:r>
      <w:r>
        <w:rPr>
          <w:bCs/>
        </w:rPr>
        <w:fldChar w:fldCharType="separate"/>
      </w:r>
      <w:r>
        <w:rPr>
          <w:bCs/>
        </w:rPr>
        <w:t>17</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"_Toc431071429" </w:instrText>
      </w:r>
      <w:r>
        <w:fldChar w:fldCharType="separate"/>
      </w:r>
      <w:r>
        <w:rPr>
          <w:rStyle w:val="26"/>
          <w:rFonts w:ascii="宋体"/>
          <w:bCs/>
          <w:color w:val="auto"/>
        </w:rPr>
        <w:t>第四章  合同条款及格式</w:t>
      </w:r>
      <w:r>
        <w:rPr>
          <w:bCs/>
        </w:rPr>
        <w:tab/>
      </w:r>
      <w:r>
        <w:rPr>
          <w:bCs/>
        </w:rPr>
        <w:fldChar w:fldCharType="begin"/>
      </w:r>
      <w:r>
        <w:rPr>
          <w:bCs/>
        </w:rPr>
        <w:instrText xml:space="preserve"> PAGEREF _Toc431071429 \h </w:instrText>
      </w:r>
      <w:r>
        <w:rPr>
          <w:bCs/>
        </w:rPr>
        <w:fldChar w:fldCharType="separate"/>
      </w:r>
      <w:r>
        <w:rPr>
          <w:bCs/>
        </w:rPr>
        <w:t>31</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"_Toc431071433" </w:instrText>
      </w:r>
      <w:r>
        <w:fldChar w:fldCharType="separate"/>
      </w:r>
      <w:r>
        <w:rPr>
          <w:rStyle w:val="26"/>
          <w:rFonts w:ascii="宋体"/>
          <w:bCs/>
          <w:color w:val="auto"/>
        </w:rPr>
        <w:t>第五章  图纸及其他</w:t>
      </w:r>
      <w:r>
        <w:rPr>
          <w:bCs/>
        </w:rPr>
        <w:tab/>
      </w:r>
      <w:r>
        <w:rPr>
          <w:bCs/>
        </w:rPr>
        <w:fldChar w:fldCharType="begin"/>
      </w:r>
      <w:r>
        <w:rPr>
          <w:bCs/>
        </w:rPr>
        <w:instrText xml:space="preserve"> PAGEREF _Toc431071433 \h </w:instrText>
      </w:r>
      <w:r>
        <w:rPr>
          <w:bCs/>
        </w:rPr>
        <w:fldChar w:fldCharType="separate"/>
      </w:r>
      <w:r>
        <w:rPr>
          <w:bCs/>
        </w:rPr>
        <w:t>38</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"_Toc431071434" </w:instrText>
      </w:r>
      <w:r>
        <w:fldChar w:fldCharType="separate"/>
      </w:r>
      <w:r>
        <w:rPr>
          <w:rStyle w:val="26"/>
          <w:rFonts w:ascii="宋体"/>
          <w:bCs/>
          <w:color w:val="auto"/>
        </w:rPr>
        <w:t>第六章  投标文件格式及组成</w:t>
      </w:r>
      <w:r>
        <w:rPr>
          <w:bCs/>
        </w:rPr>
        <w:tab/>
      </w:r>
      <w:r>
        <w:rPr>
          <w:bCs/>
        </w:rPr>
        <w:fldChar w:fldCharType="begin"/>
      </w:r>
      <w:r>
        <w:rPr>
          <w:bCs/>
        </w:rPr>
        <w:instrText xml:space="preserve"> PAGEREF _Toc431071434 \h </w:instrText>
      </w:r>
      <w:r>
        <w:rPr>
          <w:bCs/>
        </w:rPr>
        <w:fldChar w:fldCharType="separate"/>
      </w:r>
      <w:r>
        <w:rPr>
          <w:bCs/>
        </w:rPr>
        <w:t>39</w:t>
      </w:r>
      <w:r>
        <w:rPr>
          <w:bCs/>
        </w:rPr>
        <w:fldChar w:fldCharType="end"/>
      </w:r>
      <w:r>
        <w:rPr>
          <w:bCs/>
        </w:rPr>
        <w:fldChar w:fldCharType="end"/>
      </w:r>
    </w:p>
    <w:p>
      <w:pPr>
        <w:spacing w:line="480" w:lineRule="auto"/>
        <w:rPr>
          <w:rFonts w:hint="default"/>
          <w:sz w:val="21"/>
        </w:rPr>
        <w:sectPr>
          <w:footerReference r:id="rId9" w:type="first"/>
          <w:pgSz w:w="11906" w:h="16838"/>
          <w:pgMar w:top="1400" w:right="1298" w:bottom="1418" w:left="1588" w:header="907" w:footer="737" w:gutter="0"/>
          <w:pgNumType w:start="1"/>
          <w:cols w:space="720" w:num="1"/>
          <w:titlePg/>
          <w:docGrid w:linePitch="312" w:charSpace="0"/>
        </w:sectPr>
      </w:pPr>
      <w:r>
        <w:rPr>
          <w:rFonts w:hint="default" w:ascii="黑体" w:hAnsi="黑体" w:eastAsia="黑体"/>
          <w:b/>
          <w:bCs/>
          <w:caps/>
          <w:smallCaps/>
          <w:szCs w:val="24"/>
        </w:rPr>
        <w:fldChar w:fldCharType="end"/>
      </w:r>
    </w:p>
    <w:p>
      <w:pPr>
        <w:pStyle w:val="4"/>
        <w:rPr>
          <w:rFonts w:ascii="宋体" w:eastAsia="宋体"/>
          <w:b/>
          <w:bCs/>
          <w:sz w:val="48"/>
          <w:szCs w:val="48"/>
        </w:rPr>
      </w:pPr>
      <w:bookmarkStart w:id="0" w:name="_Hlt4641073"/>
      <w:bookmarkEnd w:id="0"/>
      <w:bookmarkStart w:id="1" w:name="_Hlt226598978"/>
      <w:bookmarkEnd w:id="1"/>
      <w:bookmarkStart w:id="2" w:name="_Hlt4641069"/>
      <w:bookmarkEnd w:id="2"/>
      <w:bookmarkStart w:id="3" w:name="_Hlt226551709"/>
      <w:bookmarkEnd w:id="3"/>
      <w:bookmarkStart w:id="4" w:name="_Hlt193622722"/>
      <w:bookmarkEnd w:id="4"/>
      <w:bookmarkStart w:id="5" w:name="_Hlt4641066"/>
      <w:bookmarkEnd w:id="5"/>
      <w:bookmarkStart w:id="6" w:name="_Hlt4814387"/>
      <w:bookmarkEnd w:id="6"/>
      <w:bookmarkStart w:id="7" w:name="_Hlt4640966"/>
      <w:bookmarkEnd w:id="7"/>
      <w:bookmarkStart w:id="8" w:name="_Hlt4640962"/>
      <w:bookmarkEnd w:id="8"/>
      <w:bookmarkStart w:id="9" w:name="_Hlt226552190"/>
      <w:bookmarkStart w:id="10" w:name="_Toc193115688"/>
      <w:bookmarkStart w:id="11" w:name="_Toc235592890"/>
      <w:bookmarkStart w:id="12" w:name="_Toc310493322"/>
      <w:bookmarkStart w:id="13" w:name="_Toc431071426"/>
      <w:r>
        <w:rPr>
          <w:rFonts w:hint="eastAsia" w:ascii="宋体" w:eastAsia="宋体"/>
          <w:b/>
          <w:bCs/>
          <w:sz w:val="48"/>
          <w:szCs w:val="48"/>
        </w:rPr>
        <w:t xml:space="preserve">第一章  </w:t>
      </w:r>
      <w:bookmarkEnd w:id="9"/>
      <w:bookmarkEnd w:id="10"/>
      <w:bookmarkEnd w:id="11"/>
      <w:bookmarkStart w:id="14" w:name="_Hlt226551669"/>
      <w:bookmarkEnd w:id="14"/>
      <w:r>
        <w:rPr>
          <w:rFonts w:hint="eastAsia" w:ascii="宋体" w:eastAsia="宋体"/>
          <w:b/>
          <w:bCs/>
          <w:sz w:val="48"/>
          <w:szCs w:val="48"/>
        </w:rPr>
        <w:t>招标公告</w:t>
      </w:r>
      <w:bookmarkEnd w:id="12"/>
      <w:bookmarkEnd w:id="13"/>
    </w:p>
    <w:p>
      <w:pPr>
        <w:spacing w:line="500" w:lineRule="exact"/>
        <w:jc w:val="center"/>
        <w:rPr>
          <w:rFonts w:hint="default" w:ascii="黑体" w:hAnsi="黑体" w:eastAsia="黑体" w:cs="黑体"/>
          <w:bCs/>
          <w:sz w:val="28"/>
          <w:szCs w:val="28"/>
        </w:rPr>
      </w:pPr>
      <w:r>
        <w:rPr>
          <w:rFonts w:hint="eastAsia" w:ascii="黑体" w:hAnsi="黑体" w:eastAsia="黑体" w:cs="黑体"/>
          <w:bCs/>
          <w:sz w:val="28"/>
          <w:szCs w:val="28"/>
          <w:lang w:eastAsia="zh-CN"/>
        </w:rPr>
        <w:t>浏阳市人民医院小项目预算定点单位入围招标</w:t>
      </w:r>
    </w:p>
    <w:p>
      <w:pPr>
        <w:spacing w:line="500" w:lineRule="exact"/>
        <w:jc w:val="center"/>
        <w:rPr>
          <w:rFonts w:hint="default"/>
          <w:b/>
          <w:sz w:val="21"/>
          <w:szCs w:val="21"/>
        </w:rPr>
      </w:pPr>
      <w:r>
        <w:rPr>
          <w:rFonts w:ascii="黑体" w:hAnsi="黑体" w:eastAsia="黑体" w:cs="黑体"/>
          <w:bCs/>
          <w:sz w:val="28"/>
          <w:szCs w:val="28"/>
        </w:rPr>
        <w:t>招标公告</w:t>
      </w:r>
    </w:p>
    <w:p>
      <w:pPr>
        <w:rPr>
          <w:rFonts w:hint="default"/>
          <w:b/>
          <w:sz w:val="21"/>
          <w:szCs w:val="21"/>
        </w:rPr>
      </w:pPr>
    </w:p>
    <w:p>
      <w:pPr>
        <w:adjustRightInd w:val="0"/>
        <w:snapToGrid w:val="0"/>
        <w:spacing w:line="360" w:lineRule="auto"/>
        <w:rPr>
          <w:rFonts w:hint="default" w:cs="宋体"/>
          <w:b/>
          <w:sz w:val="21"/>
          <w:szCs w:val="21"/>
        </w:rPr>
      </w:pPr>
      <w:r>
        <w:rPr>
          <w:rFonts w:cs="宋体"/>
          <w:b/>
          <w:sz w:val="21"/>
          <w:szCs w:val="21"/>
        </w:rPr>
        <w:t>1、招标条件</w:t>
      </w:r>
    </w:p>
    <w:p>
      <w:pPr>
        <w:adjustRightInd w:val="0"/>
        <w:snapToGrid w:val="0"/>
        <w:spacing w:line="360" w:lineRule="auto"/>
        <w:ind w:firstLine="420" w:firstLineChars="200"/>
        <w:rPr>
          <w:rFonts w:hint="default" w:cs="宋体"/>
          <w:b/>
          <w:sz w:val="21"/>
          <w:szCs w:val="21"/>
        </w:rPr>
      </w:pPr>
      <w:r>
        <w:rPr>
          <w:rFonts w:hint="eastAsia" w:cs="宋体"/>
          <w:bCs/>
          <w:sz w:val="21"/>
          <w:szCs w:val="21"/>
          <w:lang w:eastAsia="zh-CN"/>
        </w:rPr>
        <w:t>浏阳市人民医院小项目预算、</w:t>
      </w:r>
      <w:r>
        <w:rPr>
          <w:rFonts w:hint="eastAsia" w:cs="宋体"/>
          <w:bCs/>
          <w:sz w:val="21"/>
          <w:szCs w:val="21"/>
          <w:lang w:val="en-US" w:eastAsia="zh-CN"/>
        </w:rPr>
        <w:t>结算</w:t>
      </w:r>
      <w:r>
        <w:rPr>
          <w:rFonts w:hint="eastAsia" w:cs="宋体"/>
          <w:bCs/>
          <w:sz w:val="21"/>
          <w:szCs w:val="21"/>
          <w:lang w:eastAsia="zh-CN"/>
        </w:rPr>
        <w:t>定点单位入围</w:t>
      </w:r>
      <w:r>
        <w:rPr>
          <w:rFonts w:cs="宋体"/>
          <w:bCs/>
          <w:sz w:val="21"/>
          <w:szCs w:val="21"/>
        </w:rPr>
        <w:t>招标已由</w:t>
      </w:r>
      <w:r>
        <w:rPr>
          <w:rFonts w:hint="eastAsia" w:cs="宋体"/>
          <w:bCs/>
          <w:sz w:val="21"/>
          <w:szCs w:val="21"/>
          <w:lang w:eastAsia="zh-CN"/>
        </w:rPr>
        <w:t>浏阳市人民医院</w:t>
      </w:r>
      <w:r>
        <w:rPr>
          <w:rFonts w:cs="宋体"/>
          <w:bCs/>
          <w:sz w:val="21"/>
          <w:szCs w:val="21"/>
        </w:rPr>
        <w:t>批准，资金自筹并已落实，项目业主为</w:t>
      </w:r>
      <w:r>
        <w:rPr>
          <w:rFonts w:hint="eastAsia" w:cs="宋体"/>
          <w:bCs/>
          <w:sz w:val="21"/>
          <w:szCs w:val="21"/>
          <w:lang w:eastAsia="zh-CN"/>
        </w:rPr>
        <w:t>浏阳市人民医院</w:t>
      </w:r>
      <w:r>
        <w:rPr>
          <w:rFonts w:cs="宋体"/>
          <w:bCs/>
          <w:sz w:val="21"/>
          <w:szCs w:val="21"/>
        </w:rPr>
        <w:t>。项目已具备招标条件，现对</w:t>
      </w:r>
      <w:r>
        <w:rPr>
          <w:rFonts w:hint="eastAsia" w:cs="宋体"/>
          <w:bCs/>
          <w:sz w:val="21"/>
          <w:szCs w:val="21"/>
          <w:lang w:eastAsia="zh-CN"/>
        </w:rPr>
        <w:t>小项目预算、</w:t>
      </w:r>
      <w:r>
        <w:rPr>
          <w:rFonts w:hint="eastAsia" w:cs="宋体"/>
          <w:bCs/>
          <w:sz w:val="21"/>
          <w:szCs w:val="21"/>
          <w:lang w:val="en-US" w:eastAsia="zh-CN"/>
        </w:rPr>
        <w:t>结算</w:t>
      </w:r>
      <w:r>
        <w:rPr>
          <w:rFonts w:hint="eastAsia" w:cs="宋体"/>
          <w:bCs/>
          <w:sz w:val="21"/>
          <w:szCs w:val="21"/>
          <w:lang w:eastAsia="zh-CN"/>
        </w:rPr>
        <w:t>入围</w:t>
      </w:r>
      <w:r>
        <w:rPr>
          <w:rFonts w:hint="default" w:cs="宋体"/>
          <w:bCs/>
          <w:sz w:val="21"/>
          <w:szCs w:val="21"/>
        </w:rPr>
        <w:t>进行公开招标。</w:t>
      </w:r>
    </w:p>
    <w:p>
      <w:pPr>
        <w:adjustRightInd w:val="0"/>
        <w:snapToGrid w:val="0"/>
        <w:spacing w:line="360" w:lineRule="auto"/>
        <w:rPr>
          <w:rFonts w:hint="default" w:cs="宋体"/>
          <w:b/>
          <w:sz w:val="21"/>
          <w:szCs w:val="21"/>
        </w:rPr>
      </w:pPr>
      <w:r>
        <w:rPr>
          <w:rFonts w:cs="宋体"/>
          <w:b/>
          <w:sz w:val="21"/>
          <w:szCs w:val="21"/>
        </w:rPr>
        <w:t xml:space="preserve"> 2、项目概况和招标范围</w:t>
      </w:r>
    </w:p>
    <w:p>
      <w:pPr>
        <w:adjustRightInd w:val="0"/>
        <w:snapToGrid w:val="0"/>
        <w:spacing w:line="360" w:lineRule="auto"/>
        <w:ind w:firstLine="420" w:firstLineChars="200"/>
        <w:rPr>
          <w:rFonts w:hint="default" w:cs="宋体"/>
          <w:bCs/>
          <w:sz w:val="21"/>
          <w:szCs w:val="21"/>
        </w:rPr>
      </w:pPr>
      <w:r>
        <w:rPr>
          <w:rFonts w:cs="宋体"/>
          <w:bCs/>
          <w:sz w:val="21"/>
          <w:szCs w:val="21"/>
        </w:rPr>
        <w:t>2.1项目概况：</w:t>
      </w:r>
      <w:r>
        <w:rPr>
          <w:rFonts w:hint="eastAsia" w:cs="宋体"/>
          <w:bCs/>
          <w:sz w:val="21"/>
          <w:szCs w:val="21"/>
          <w:lang w:eastAsia="zh-CN"/>
        </w:rPr>
        <w:t>浏阳市人民医院小项目预算、</w:t>
      </w:r>
      <w:r>
        <w:rPr>
          <w:rFonts w:hint="eastAsia" w:cs="宋体"/>
          <w:bCs/>
          <w:sz w:val="21"/>
          <w:szCs w:val="21"/>
          <w:lang w:val="en-US" w:eastAsia="zh-CN"/>
        </w:rPr>
        <w:t>结算</w:t>
      </w:r>
      <w:r>
        <w:rPr>
          <w:rFonts w:hint="eastAsia" w:cs="宋体"/>
          <w:bCs/>
          <w:sz w:val="21"/>
          <w:szCs w:val="21"/>
          <w:lang w:eastAsia="zh-CN"/>
        </w:rPr>
        <w:t>定点单位入围招标</w:t>
      </w:r>
      <w:r>
        <w:rPr>
          <w:rFonts w:hint="default" w:cs="宋体"/>
          <w:bCs/>
          <w:sz w:val="21"/>
          <w:szCs w:val="21"/>
        </w:rPr>
        <w:t>，主要为招标人提供</w:t>
      </w:r>
      <w:r>
        <w:rPr>
          <w:rFonts w:hint="eastAsia" w:cs="宋体"/>
          <w:bCs/>
          <w:sz w:val="21"/>
          <w:szCs w:val="21"/>
          <w:lang w:eastAsia="zh-CN"/>
        </w:rPr>
        <w:t>小项目预算、</w:t>
      </w:r>
      <w:r>
        <w:rPr>
          <w:rFonts w:hint="eastAsia" w:cs="宋体"/>
          <w:bCs/>
          <w:sz w:val="21"/>
          <w:szCs w:val="21"/>
          <w:lang w:val="en-US" w:eastAsia="zh-CN"/>
        </w:rPr>
        <w:t>结算</w:t>
      </w:r>
      <w:r>
        <w:rPr>
          <w:rFonts w:hint="eastAsia" w:cs="宋体"/>
          <w:bCs/>
          <w:sz w:val="21"/>
          <w:szCs w:val="21"/>
          <w:lang w:eastAsia="zh-CN"/>
        </w:rPr>
        <w:t>相关服务</w:t>
      </w:r>
      <w:r>
        <w:rPr>
          <w:rFonts w:hint="eastAsia" w:cs="宋体"/>
          <w:bCs/>
          <w:sz w:val="21"/>
          <w:szCs w:val="21"/>
          <w:lang w:val="en-US" w:eastAsia="zh-CN"/>
        </w:rPr>
        <w:t>，咨询服务费上限价参照《浏阳市造价咨询中介机构管理办法》（浏财函[2020]41号）规定标准，咨询服务时间、质量按相关文件要求执行</w:t>
      </w:r>
      <w:r>
        <w:rPr>
          <w:rFonts w:hint="default" w:cs="宋体"/>
          <w:bCs/>
          <w:sz w:val="21"/>
          <w:szCs w:val="21"/>
        </w:rPr>
        <w:t>。</w:t>
      </w:r>
    </w:p>
    <w:p>
      <w:pPr>
        <w:adjustRightInd w:val="0"/>
        <w:snapToGrid w:val="0"/>
        <w:spacing w:line="360" w:lineRule="auto"/>
        <w:ind w:firstLine="420" w:firstLineChars="200"/>
        <w:rPr>
          <w:rFonts w:hint="default" w:cs="宋体"/>
          <w:bCs/>
          <w:sz w:val="21"/>
          <w:szCs w:val="21"/>
        </w:rPr>
      </w:pPr>
      <w:r>
        <w:rPr>
          <w:rFonts w:cs="宋体"/>
          <w:bCs/>
          <w:sz w:val="21"/>
          <w:szCs w:val="21"/>
        </w:rPr>
        <w:t>2.2</w:t>
      </w:r>
      <w:r>
        <w:rPr>
          <w:rFonts w:hint="default" w:cs="宋体"/>
          <w:bCs/>
          <w:sz w:val="21"/>
          <w:szCs w:val="21"/>
        </w:rPr>
        <w:t>资金来源：</w:t>
      </w:r>
      <w:r>
        <w:rPr>
          <w:rFonts w:cs="宋体"/>
          <w:bCs/>
          <w:sz w:val="21"/>
          <w:szCs w:val="21"/>
        </w:rPr>
        <w:t>自筹资金。</w:t>
      </w:r>
    </w:p>
    <w:p>
      <w:pPr>
        <w:adjustRightInd w:val="0"/>
        <w:snapToGrid w:val="0"/>
        <w:spacing w:line="360" w:lineRule="auto"/>
        <w:ind w:firstLine="420" w:firstLineChars="200"/>
        <w:rPr>
          <w:rFonts w:hint="default" w:cs="宋体"/>
          <w:sz w:val="21"/>
          <w:szCs w:val="21"/>
        </w:rPr>
      </w:pPr>
      <w:r>
        <w:rPr>
          <w:rFonts w:cs="宋体"/>
          <w:bCs/>
          <w:sz w:val="21"/>
          <w:szCs w:val="21"/>
        </w:rPr>
        <w:t>2.3标段划分：</w:t>
      </w:r>
      <w:r>
        <w:rPr>
          <w:rFonts w:hint="eastAsia" w:cs="宋体"/>
          <w:bCs/>
          <w:sz w:val="21"/>
          <w:szCs w:val="21"/>
          <w:lang w:val="en-US" w:eastAsia="zh-CN"/>
        </w:rPr>
        <w:t>预算为一个标段、结算为</w:t>
      </w:r>
      <w:r>
        <w:rPr>
          <w:rFonts w:cs="宋体"/>
          <w:bCs/>
          <w:sz w:val="21"/>
          <w:szCs w:val="21"/>
        </w:rPr>
        <w:t>一</w:t>
      </w:r>
      <w:r>
        <w:rPr>
          <w:rFonts w:cs="宋体"/>
          <w:sz w:val="21"/>
          <w:szCs w:val="21"/>
        </w:rPr>
        <w:t>个标段。</w:t>
      </w:r>
    </w:p>
    <w:p>
      <w:pPr>
        <w:adjustRightInd w:val="0"/>
        <w:snapToGrid w:val="0"/>
        <w:spacing w:line="360" w:lineRule="auto"/>
        <w:ind w:firstLine="420" w:firstLineChars="200"/>
        <w:rPr>
          <w:rFonts w:hint="eastAsia" w:cs="宋体"/>
          <w:sz w:val="21"/>
          <w:szCs w:val="21"/>
        </w:rPr>
      </w:pPr>
      <w:r>
        <w:rPr>
          <w:rFonts w:cs="宋体"/>
          <w:sz w:val="21"/>
          <w:szCs w:val="21"/>
        </w:rPr>
        <w:t>2.</w:t>
      </w:r>
      <w:r>
        <w:rPr>
          <w:rFonts w:hint="eastAsia" w:cs="宋体"/>
          <w:sz w:val="21"/>
          <w:szCs w:val="21"/>
          <w:lang w:val="en-US" w:eastAsia="zh-CN"/>
        </w:rPr>
        <w:t>4</w:t>
      </w:r>
      <w:r>
        <w:rPr>
          <w:rFonts w:cs="宋体"/>
          <w:sz w:val="21"/>
          <w:szCs w:val="21"/>
        </w:rPr>
        <w:t>招标范围：</w:t>
      </w:r>
      <w:r>
        <w:rPr>
          <w:rFonts w:hint="eastAsia" w:cs="宋体"/>
          <w:sz w:val="21"/>
          <w:szCs w:val="21"/>
        </w:rPr>
        <w:t>本次招标将根据评委推荐的投标人最终排序情况，按第一名和第二名作为本项目的中标候选人。</w:t>
      </w:r>
    </w:p>
    <w:p>
      <w:pPr>
        <w:adjustRightInd w:val="0"/>
        <w:snapToGrid w:val="0"/>
        <w:spacing w:line="360" w:lineRule="auto"/>
        <w:ind w:firstLine="420" w:firstLineChars="200"/>
        <w:rPr>
          <w:rFonts w:hint="eastAsia"/>
          <w:sz w:val="21"/>
          <w:szCs w:val="21"/>
          <w:lang w:val="en-US" w:eastAsia="zh-CN"/>
        </w:rPr>
      </w:pPr>
      <w:r>
        <w:rPr>
          <w:rFonts w:hint="eastAsia" w:cs="宋体"/>
          <w:sz w:val="21"/>
          <w:szCs w:val="21"/>
          <w:lang w:val="en-US" w:eastAsia="zh-CN"/>
        </w:rPr>
        <w:t>2.5服务周期：结合实际情况，服务期为</w:t>
      </w:r>
      <w:r>
        <w:rPr>
          <w:rFonts w:hint="eastAsia"/>
          <w:sz w:val="21"/>
          <w:szCs w:val="21"/>
          <w:lang w:val="en-US" w:eastAsia="zh-CN"/>
        </w:rPr>
        <w:t>3个年度。</w:t>
      </w:r>
    </w:p>
    <w:p>
      <w:pPr>
        <w:pStyle w:val="2"/>
        <w:rPr>
          <w:rFonts w:hint="eastAsia" w:eastAsia="宋体"/>
          <w:lang w:val="en-US" w:eastAsia="zh-CN"/>
        </w:rPr>
      </w:pPr>
      <w:r>
        <w:rPr>
          <w:rFonts w:hint="eastAsia"/>
          <w:sz w:val="21"/>
          <w:szCs w:val="21"/>
          <w:lang w:val="en-US" w:eastAsia="zh-CN"/>
        </w:rPr>
        <w:t>2.6质量要求：</w:t>
      </w:r>
      <w:r>
        <w:rPr>
          <w:rFonts w:hint="default"/>
          <w:sz w:val="21"/>
          <w:szCs w:val="21"/>
        </w:rPr>
        <w:t>达到相关规范要求</w:t>
      </w:r>
      <w:r>
        <w:rPr>
          <w:rFonts w:hint="eastAsia"/>
          <w:sz w:val="21"/>
          <w:szCs w:val="21"/>
          <w:lang w:eastAsia="zh-CN"/>
        </w:rPr>
        <w:t>。</w:t>
      </w:r>
    </w:p>
    <w:p>
      <w:pPr>
        <w:adjustRightInd w:val="0"/>
        <w:snapToGrid w:val="0"/>
        <w:spacing w:line="360" w:lineRule="auto"/>
        <w:rPr>
          <w:rFonts w:hint="default" w:cs="宋体"/>
          <w:b/>
          <w:bCs/>
          <w:sz w:val="21"/>
          <w:szCs w:val="21"/>
        </w:rPr>
      </w:pPr>
      <w:r>
        <w:rPr>
          <w:rFonts w:cs="宋体"/>
          <w:b/>
          <w:bCs/>
          <w:sz w:val="21"/>
          <w:szCs w:val="21"/>
        </w:rPr>
        <w:t>3、投标人资格要求</w:t>
      </w:r>
    </w:p>
    <w:p>
      <w:pPr>
        <w:adjustRightInd w:val="0"/>
        <w:snapToGrid w:val="0"/>
        <w:spacing w:line="360" w:lineRule="auto"/>
        <w:ind w:firstLine="480"/>
        <w:rPr>
          <w:rFonts w:hint="default" w:eastAsia="宋体" w:cs="宋体"/>
          <w:sz w:val="21"/>
          <w:szCs w:val="21"/>
          <w:lang w:val="en-US" w:eastAsia="zh-CN"/>
        </w:rPr>
      </w:pPr>
      <w:r>
        <w:rPr>
          <w:rFonts w:cs="宋体"/>
          <w:sz w:val="21"/>
          <w:szCs w:val="21"/>
        </w:rPr>
        <w:t>3.1</w:t>
      </w:r>
      <w:r>
        <w:rPr>
          <w:rFonts w:hint="eastAsia" w:cs="宋体"/>
          <w:sz w:val="21"/>
          <w:szCs w:val="21"/>
          <w:lang w:eastAsia="zh-CN"/>
        </w:rPr>
        <w:t>投标人必须在</w:t>
      </w:r>
      <w:r>
        <w:rPr>
          <w:rFonts w:hint="eastAsia" w:cs="宋体"/>
          <w:sz w:val="21"/>
          <w:szCs w:val="21"/>
          <w:lang w:val="en-US" w:eastAsia="zh-CN"/>
        </w:rPr>
        <w:t>2022年浏阳市造价咨询中介目录内。</w:t>
      </w:r>
    </w:p>
    <w:p>
      <w:pPr>
        <w:adjustRightInd w:val="0"/>
        <w:snapToGrid w:val="0"/>
        <w:spacing w:line="360" w:lineRule="auto"/>
        <w:ind w:firstLine="480"/>
        <w:rPr>
          <w:rFonts w:cs="宋体"/>
          <w:sz w:val="21"/>
          <w:szCs w:val="21"/>
        </w:rPr>
      </w:pPr>
      <w:r>
        <w:rPr>
          <w:rFonts w:hint="eastAsia" w:cs="宋体"/>
          <w:sz w:val="21"/>
          <w:szCs w:val="21"/>
          <w:lang w:val="en-US" w:eastAsia="zh-CN"/>
        </w:rPr>
        <w:t>3.2</w:t>
      </w:r>
      <w:r>
        <w:rPr>
          <w:rFonts w:cs="宋体"/>
          <w:sz w:val="21"/>
          <w:szCs w:val="21"/>
        </w:rPr>
        <w:t>具有独立法人资格并依法取得企业法人营业执照，营业执照处于有效期；</w:t>
      </w:r>
    </w:p>
    <w:p>
      <w:pPr>
        <w:adjustRightInd w:val="0"/>
        <w:snapToGrid w:val="0"/>
        <w:spacing w:line="360" w:lineRule="auto"/>
        <w:ind w:firstLine="480"/>
        <w:rPr>
          <w:rFonts w:hint="default" w:cs="宋体"/>
          <w:sz w:val="21"/>
          <w:szCs w:val="21"/>
        </w:rPr>
      </w:pPr>
      <w:r>
        <w:rPr>
          <w:rFonts w:cs="宋体"/>
          <w:sz w:val="21"/>
          <w:szCs w:val="21"/>
        </w:rPr>
        <w:t>3.</w:t>
      </w:r>
      <w:r>
        <w:rPr>
          <w:rFonts w:hint="eastAsia" w:cs="宋体"/>
          <w:sz w:val="21"/>
          <w:szCs w:val="21"/>
          <w:lang w:val="en-US" w:eastAsia="zh-CN"/>
        </w:rPr>
        <w:t>3</w:t>
      </w:r>
      <w:r>
        <w:rPr>
          <w:rFonts w:cs="宋体"/>
          <w:sz w:val="21"/>
          <w:szCs w:val="21"/>
        </w:rPr>
        <w:t>投标人须具备由建设行政主管部门颁发的工程造价咨询乙级</w:t>
      </w:r>
      <w:r>
        <w:rPr>
          <w:rFonts w:hint="eastAsia" w:cs="宋体"/>
          <w:sz w:val="21"/>
          <w:szCs w:val="21"/>
          <w:lang w:eastAsia="zh-CN"/>
        </w:rPr>
        <w:t>（含暂定乙级）</w:t>
      </w:r>
      <w:r>
        <w:rPr>
          <w:rFonts w:cs="宋体"/>
          <w:sz w:val="21"/>
          <w:szCs w:val="21"/>
        </w:rPr>
        <w:t>及以上资质。</w:t>
      </w:r>
    </w:p>
    <w:p>
      <w:pPr>
        <w:adjustRightInd w:val="0"/>
        <w:snapToGrid w:val="0"/>
        <w:spacing w:line="360" w:lineRule="auto"/>
        <w:ind w:firstLine="480"/>
        <w:rPr>
          <w:rFonts w:cs="宋体"/>
          <w:sz w:val="21"/>
          <w:szCs w:val="21"/>
        </w:rPr>
      </w:pPr>
      <w:r>
        <w:rPr>
          <w:rFonts w:cs="宋体"/>
          <w:sz w:val="21"/>
          <w:szCs w:val="21"/>
        </w:rPr>
        <w:t>3.</w:t>
      </w:r>
      <w:r>
        <w:rPr>
          <w:rFonts w:hint="eastAsia" w:cs="宋体"/>
          <w:sz w:val="21"/>
          <w:szCs w:val="21"/>
          <w:lang w:val="en-US" w:eastAsia="zh-CN"/>
        </w:rPr>
        <w:t>4</w:t>
      </w:r>
      <w:r>
        <w:rPr>
          <w:rFonts w:cs="宋体"/>
          <w:sz w:val="21"/>
          <w:szCs w:val="21"/>
        </w:rPr>
        <w:t>项目负责人须具有建设行政主管部门颁发的国家注册造价工程师证书，并具有</w:t>
      </w:r>
      <w:r>
        <w:rPr>
          <w:rFonts w:hint="eastAsia" w:cs="宋体"/>
          <w:sz w:val="21"/>
          <w:szCs w:val="21"/>
          <w:lang w:eastAsia="zh-CN"/>
        </w:rPr>
        <w:t>工程造价</w:t>
      </w:r>
      <w:r>
        <w:rPr>
          <w:rFonts w:cs="宋体"/>
          <w:sz w:val="21"/>
          <w:szCs w:val="21"/>
        </w:rPr>
        <w:t>专业</w:t>
      </w:r>
      <w:r>
        <w:rPr>
          <w:rFonts w:hint="eastAsia" w:cs="宋体"/>
          <w:sz w:val="21"/>
          <w:szCs w:val="21"/>
          <w:lang w:eastAsia="zh-CN"/>
        </w:rPr>
        <w:t>中</w:t>
      </w:r>
      <w:r>
        <w:rPr>
          <w:rFonts w:cs="宋体"/>
          <w:sz w:val="21"/>
          <w:szCs w:val="21"/>
        </w:rPr>
        <w:t>级及以上职称；</w:t>
      </w:r>
    </w:p>
    <w:p>
      <w:pPr>
        <w:pStyle w:val="2"/>
        <w:rPr>
          <w:rFonts w:hint="default" w:eastAsia="宋体"/>
          <w:lang w:val="en-US" w:eastAsia="zh-CN"/>
        </w:rPr>
      </w:pPr>
      <w:r>
        <w:rPr>
          <w:rFonts w:hint="eastAsia" w:cs="宋体"/>
          <w:sz w:val="21"/>
          <w:szCs w:val="21"/>
          <w:lang w:val="en-US" w:eastAsia="zh-CN"/>
        </w:rPr>
        <w:t>3.5投标人必须在浏阳有固定办公场所，办公室面积不少于250m2,以房产证及实地考察为准。</w:t>
      </w:r>
    </w:p>
    <w:p>
      <w:pPr>
        <w:adjustRightInd w:val="0"/>
        <w:snapToGrid w:val="0"/>
        <w:spacing w:line="360" w:lineRule="auto"/>
        <w:ind w:firstLine="420" w:firstLineChars="200"/>
        <w:rPr>
          <w:rFonts w:hint="default" w:cs="宋体"/>
          <w:sz w:val="21"/>
          <w:szCs w:val="21"/>
        </w:rPr>
      </w:pPr>
      <w:r>
        <w:rPr>
          <w:rFonts w:cs="宋体"/>
          <w:sz w:val="21"/>
          <w:szCs w:val="21"/>
        </w:rPr>
        <w:t>3.</w:t>
      </w:r>
      <w:r>
        <w:rPr>
          <w:rFonts w:hint="eastAsia" w:cs="宋体"/>
          <w:sz w:val="21"/>
          <w:szCs w:val="21"/>
          <w:lang w:val="en-US" w:eastAsia="zh-CN"/>
        </w:rPr>
        <w:t>5</w:t>
      </w:r>
      <w:r>
        <w:rPr>
          <w:rFonts w:cs="宋体"/>
          <w:sz w:val="21"/>
          <w:szCs w:val="21"/>
        </w:rPr>
        <w:t>投标人拟投入本项目的专业技术人员需配备为</w:t>
      </w:r>
      <w:r>
        <w:rPr>
          <w:rFonts w:hint="eastAsia" w:cs="宋体"/>
          <w:sz w:val="21"/>
          <w:szCs w:val="21"/>
          <w:lang w:val="en-US" w:eastAsia="zh-CN"/>
        </w:rPr>
        <w:t>2</w:t>
      </w:r>
      <w:r>
        <w:rPr>
          <w:rFonts w:cs="宋体"/>
          <w:sz w:val="21"/>
          <w:szCs w:val="21"/>
        </w:rPr>
        <w:t>人，其中项目负责人1人，其他专业技术人员</w:t>
      </w:r>
      <w:r>
        <w:rPr>
          <w:rFonts w:hint="eastAsia" w:cs="宋体"/>
          <w:sz w:val="21"/>
          <w:szCs w:val="21"/>
          <w:lang w:val="en-US" w:eastAsia="zh-CN"/>
        </w:rPr>
        <w:t>1</w:t>
      </w:r>
      <w:r>
        <w:rPr>
          <w:rFonts w:cs="宋体"/>
          <w:sz w:val="21"/>
          <w:szCs w:val="21"/>
        </w:rPr>
        <w:t>人，拟任本项目人员必须是本企业在职人员</w:t>
      </w:r>
      <w:r>
        <w:rPr>
          <w:rFonts w:hint="default" w:cs="宋体"/>
          <w:color w:val="auto"/>
          <w:sz w:val="21"/>
          <w:szCs w:val="21"/>
        </w:rPr>
        <w:t>(提供劳动保障部门出具的</w:t>
      </w:r>
      <w:r>
        <w:rPr>
          <w:rFonts w:hint="eastAsia" w:cs="宋体"/>
          <w:color w:val="auto"/>
          <w:sz w:val="21"/>
          <w:szCs w:val="21"/>
          <w:lang w:eastAsia="zh-CN"/>
        </w:rPr>
        <w:t>近三个月中任意一个月的</w:t>
      </w:r>
      <w:r>
        <w:rPr>
          <w:rFonts w:hint="default" w:cs="宋体"/>
          <w:color w:val="auto"/>
          <w:sz w:val="21"/>
          <w:szCs w:val="21"/>
        </w:rPr>
        <w:t>社保证明）</w:t>
      </w:r>
      <w:r>
        <w:rPr>
          <w:rFonts w:hint="default" w:cs="宋体"/>
          <w:sz w:val="21"/>
          <w:szCs w:val="21"/>
        </w:rPr>
        <w:t>。</w:t>
      </w:r>
    </w:p>
    <w:p>
      <w:pPr>
        <w:adjustRightInd w:val="0"/>
        <w:snapToGrid w:val="0"/>
        <w:spacing w:line="360" w:lineRule="auto"/>
        <w:rPr>
          <w:rFonts w:hint="default" w:cs="宋体"/>
          <w:sz w:val="21"/>
          <w:szCs w:val="21"/>
        </w:rPr>
      </w:pPr>
      <w:r>
        <w:rPr>
          <w:rFonts w:cs="宋体"/>
          <w:sz w:val="21"/>
          <w:szCs w:val="21"/>
        </w:rPr>
        <w:t xml:space="preserve">    3.</w:t>
      </w:r>
      <w:r>
        <w:rPr>
          <w:rFonts w:hint="eastAsia" w:cs="宋体"/>
          <w:sz w:val="21"/>
          <w:szCs w:val="21"/>
          <w:lang w:val="en-US" w:eastAsia="zh-CN"/>
        </w:rPr>
        <w:t>6</w:t>
      </w:r>
      <w:r>
        <w:rPr>
          <w:rFonts w:cs="宋体"/>
          <w:sz w:val="21"/>
          <w:szCs w:val="21"/>
        </w:rPr>
        <w:t>投标人不得出现下述情形，否则否决其投标：</w:t>
      </w:r>
      <w:r>
        <w:rPr>
          <w:rFonts w:cs="宋体"/>
          <w:sz w:val="21"/>
          <w:szCs w:val="21"/>
        </w:rPr>
        <w:fldChar w:fldCharType="begin"/>
      </w:r>
      <w:r>
        <w:rPr>
          <w:rFonts w:cs="宋体"/>
          <w:sz w:val="21"/>
          <w:szCs w:val="21"/>
        </w:rPr>
        <w:instrText xml:space="preserve"> = 1 \* GB2 </w:instrText>
      </w:r>
      <w:r>
        <w:rPr>
          <w:rFonts w:cs="宋体"/>
          <w:sz w:val="21"/>
          <w:szCs w:val="21"/>
        </w:rPr>
        <w:fldChar w:fldCharType="separate"/>
      </w:r>
      <w:r>
        <w:rPr>
          <w:rFonts w:cs="宋体"/>
          <w:sz w:val="21"/>
          <w:szCs w:val="21"/>
        </w:rPr>
        <w:t>⑴</w:t>
      </w:r>
      <w:r>
        <w:rPr>
          <w:rFonts w:cs="宋体"/>
          <w:sz w:val="21"/>
          <w:szCs w:val="21"/>
        </w:rPr>
        <w:fldChar w:fldCharType="end"/>
      </w:r>
      <w:r>
        <w:rPr>
          <w:rFonts w:cs="宋体"/>
          <w:sz w:val="21"/>
          <w:szCs w:val="21"/>
        </w:rPr>
        <w:t>与招标人存在利害关系可能影响招标公正性的法人、其他组织或者个人；</w:t>
      </w:r>
      <w:r>
        <w:rPr>
          <w:rFonts w:cs="宋体"/>
          <w:sz w:val="21"/>
          <w:szCs w:val="21"/>
        </w:rPr>
        <w:fldChar w:fldCharType="begin"/>
      </w:r>
      <w:r>
        <w:rPr>
          <w:rFonts w:cs="宋体"/>
          <w:sz w:val="21"/>
          <w:szCs w:val="21"/>
        </w:rPr>
        <w:instrText xml:space="preserve"> = 2 \* GB2 </w:instrText>
      </w:r>
      <w:r>
        <w:rPr>
          <w:rFonts w:cs="宋体"/>
          <w:sz w:val="21"/>
          <w:szCs w:val="21"/>
        </w:rPr>
        <w:fldChar w:fldCharType="separate"/>
      </w:r>
      <w:r>
        <w:rPr>
          <w:rFonts w:cs="宋体"/>
          <w:sz w:val="21"/>
          <w:szCs w:val="21"/>
        </w:rPr>
        <w:t>⑵</w:t>
      </w:r>
      <w:r>
        <w:rPr>
          <w:rFonts w:cs="宋体"/>
          <w:sz w:val="21"/>
          <w:szCs w:val="21"/>
        </w:rPr>
        <w:fldChar w:fldCharType="end"/>
      </w:r>
      <w:r>
        <w:rPr>
          <w:rFonts w:cs="宋体"/>
          <w:sz w:val="21"/>
          <w:szCs w:val="21"/>
        </w:rPr>
        <w:t>单位负责人为同一人或者存在控股、管理关系的不同单位，参加同一标段投标或者未划分标段的同一招标项目投标。</w:t>
      </w:r>
    </w:p>
    <w:p>
      <w:pPr>
        <w:adjustRightInd w:val="0"/>
        <w:snapToGrid w:val="0"/>
        <w:spacing w:line="360" w:lineRule="auto"/>
        <w:ind w:firstLine="420"/>
        <w:rPr>
          <w:rFonts w:hint="default" w:cs="宋体"/>
          <w:sz w:val="21"/>
          <w:szCs w:val="21"/>
        </w:rPr>
      </w:pPr>
      <w:r>
        <w:rPr>
          <w:rFonts w:cs="宋体"/>
          <w:sz w:val="21"/>
          <w:szCs w:val="21"/>
        </w:rPr>
        <w:t>3.</w:t>
      </w:r>
      <w:r>
        <w:rPr>
          <w:rFonts w:hint="eastAsia" w:cs="宋体"/>
          <w:sz w:val="21"/>
          <w:szCs w:val="21"/>
          <w:lang w:val="en-US" w:eastAsia="zh-CN"/>
        </w:rPr>
        <w:t>7</w:t>
      </w:r>
      <w:r>
        <w:rPr>
          <w:rFonts w:cs="宋体"/>
          <w:sz w:val="21"/>
          <w:szCs w:val="21"/>
        </w:rPr>
        <w:t>如法定代表人担任项目负责人无须提供授权委托书，只需提供法定代表人身份证明原件。</w:t>
      </w:r>
    </w:p>
    <w:p>
      <w:pPr>
        <w:adjustRightInd w:val="0"/>
        <w:snapToGrid w:val="0"/>
        <w:spacing w:line="360" w:lineRule="auto"/>
        <w:ind w:firstLine="420" w:firstLineChars="200"/>
        <w:rPr>
          <w:rFonts w:hint="default" w:cs="宋体"/>
          <w:sz w:val="21"/>
          <w:szCs w:val="21"/>
        </w:rPr>
      </w:pPr>
      <w:r>
        <w:rPr>
          <w:rFonts w:cs="宋体"/>
          <w:sz w:val="21"/>
          <w:szCs w:val="21"/>
        </w:rPr>
        <w:t>3.</w:t>
      </w:r>
      <w:r>
        <w:rPr>
          <w:rFonts w:hint="eastAsia" w:cs="宋体"/>
          <w:sz w:val="21"/>
          <w:szCs w:val="21"/>
          <w:lang w:val="en-US" w:eastAsia="zh-CN"/>
        </w:rPr>
        <w:t>8</w:t>
      </w:r>
      <w:r>
        <w:rPr>
          <w:rFonts w:cs="宋体"/>
          <w:sz w:val="21"/>
          <w:szCs w:val="21"/>
        </w:rPr>
        <w:t>本次招标不接受联合体投标。</w:t>
      </w:r>
    </w:p>
    <w:p>
      <w:pPr>
        <w:adjustRightInd w:val="0"/>
        <w:snapToGrid w:val="0"/>
        <w:spacing w:line="360" w:lineRule="auto"/>
        <w:ind w:firstLine="422" w:firstLineChars="200"/>
        <w:rPr>
          <w:rFonts w:hint="default" w:cs="宋体"/>
          <w:b/>
          <w:bCs/>
          <w:sz w:val="21"/>
          <w:szCs w:val="21"/>
        </w:rPr>
      </w:pPr>
      <w:r>
        <w:rPr>
          <w:rFonts w:cs="宋体"/>
          <w:b/>
          <w:bCs/>
          <w:sz w:val="21"/>
          <w:szCs w:val="21"/>
        </w:rPr>
        <w:t>4、评标办法</w:t>
      </w:r>
    </w:p>
    <w:p>
      <w:pPr>
        <w:adjustRightInd w:val="0"/>
        <w:snapToGrid w:val="0"/>
        <w:spacing w:line="360" w:lineRule="auto"/>
        <w:ind w:firstLine="480"/>
        <w:rPr>
          <w:rFonts w:hint="default" w:cs="宋体"/>
          <w:sz w:val="21"/>
          <w:szCs w:val="21"/>
        </w:rPr>
      </w:pPr>
      <w:r>
        <w:rPr>
          <w:rFonts w:cs="宋体"/>
          <w:sz w:val="21"/>
          <w:szCs w:val="21"/>
        </w:rPr>
        <w:t>评标办法采用综合评标法。本项目资格审查采用资格后审。</w:t>
      </w:r>
    </w:p>
    <w:p>
      <w:pPr>
        <w:numPr>
          <w:ilvl w:val="0"/>
          <w:numId w:val="1"/>
        </w:numPr>
        <w:adjustRightInd w:val="0"/>
        <w:snapToGrid w:val="0"/>
        <w:spacing w:line="360" w:lineRule="auto"/>
        <w:ind w:firstLine="480"/>
        <w:rPr>
          <w:rFonts w:hint="eastAsia" w:cs="宋体"/>
          <w:b/>
          <w:bCs/>
          <w:sz w:val="21"/>
          <w:szCs w:val="21"/>
          <w:lang w:eastAsia="zh-CN"/>
        </w:rPr>
      </w:pPr>
      <w:r>
        <w:rPr>
          <w:rFonts w:hint="eastAsia" w:cs="宋体"/>
          <w:b/>
          <w:bCs/>
          <w:sz w:val="21"/>
          <w:szCs w:val="21"/>
          <w:lang w:eastAsia="zh-CN"/>
        </w:rPr>
        <w:t>投标保证金</w:t>
      </w:r>
    </w:p>
    <w:p>
      <w:pPr>
        <w:numPr>
          <w:ilvl w:val="0"/>
          <w:numId w:val="0"/>
        </w:numPr>
        <w:adjustRightInd w:val="0"/>
        <w:snapToGrid w:val="0"/>
        <w:spacing w:line="360" w:lineRule="auto"/>
        <w:rPr>
          <w:rFonts w:hint="default" w:cs="宋体"/>
          <w:sz w:val="21"/>
          <w:szCs w:val="21"/>
          <w:lang w:val="en-US" w:eastAsia="zh-CN"/>
        </w:rPr>
      </w:pPr>
      <w:r>
        <w:rPr>
          <w:rFonts w:hint="eastAsia" w:cs="宋体"/>
          <w:b/>
          <w:bCs/>
          <w:sz w:val="21"/>
          <w:szCs w:val="21"/>
          <w:lang w:val="en-US" w:eastAsia="zh-CN"/>
        </w:rPr>
        <w:t xml:space="preserve">  </w:t>
      </w:r>
      <w:r>
        <w:rPr>
          <w:rFonts w:hint="eastAsia" w:cs="宋体"/>
          <w:sz w:val="21"/>
          <w:szCs w:val="21"/>
          <w:lang w:val="en-US" w:eastAsia="zh-CN"/>
        </w:rPr>
        <w:t xml:space="preserve">  本项目不设投标保证金。</w:t>
      </w:r>
    </w:p>
    <w:p>
      <w:pPr>
        <w:adjustRightInd w:val="0"/>
        <w:snapToGrid w:val="0"/>
        <w:spacing w:line="360" w:lineRule="auto"/>
        <w:rPr>
          <w:rFonts w:hint="default" w:cs="宋体"/>
          <w:b/>
          <w:bCs/>
          <w:sz w:val="21"/>
          <w:szCs w:val="21"/>
        </w:rPr>
      </w:pPr>
      <w:r>
        <w:rPr>
          <w:rFonts w:cs="宋体"/>
          <w:b/>
          <w:bCs/>
          <w:sz w:val="21"/>
          <w:szCs w:val="21"/>
        </w:rPr>
        <w:t>6、招标文件的获取及澄清答疑发布</w:t>
      </w:r>
    </w:p>
    <w:p>
      <w:pPr>
        <w:adjustRightInd w:val="0"/>
        <w:snapToGrid w:val="0"/>
        <w:spacing w:line="360" w:lineRule="auto"/>
        <w:ind w:firstLine="420" w:firstLineChars="200"/>
        <w:rPr>
          <w:rFonts w:hint="eastAsia" w:eastAsia="宋体" w:cs="宋体"/>
          <w:sz w:val="21"/>
          <w:szCs w:val="21"/>
          <w:lang w:eastAsia="zh-CN"/>
        </w:rPr>
      </w:pPr>
      <w:r>
        <w:rPr>
          <w:rFonts w:hint="default" w:cs="宋体"/>
          <w:sz w:val="21"/>
          <w:szCs w:val="21"/>
        </w:rPr>
        <w:t>6.1 请从202</w:t>
      </w:r>
      <w:r>
        <w:rPr>
          <w:rFonts w:hint="eastAsia" w:cs="宋体"/>
          <w:sz w:val="21"/>
          <w:szCs w:val="21"/>
          <w:lang w:val="en-US" w:eastAsia="zh-CN"/>
        </w:rPr>
        <w:t>2</w:t>
      </w:r>
      <w:r>
        <w:rPr>
          <w:rFonts w:hint="default" w:cs="宋体"/>
          <w:sz w:val="21"/>
          <w:szCs w:val="21"/>
        </w:rPr>
        <w:t>年</w:t>
      </w:r>
      <w:r>
        <w:rPr>
          <w:rFonts w:hint="eastAsia" w:cs="宋体"/>
          <w:sz w:val="21"/>
          <w:szCs w:val="21"/>
          <w:lang w:val="en-US" w:eastAsia="zh-CN"/>
        </w:rPr>
        <w:t xml:space="preserve">1 </w:t>
      </w:r>
      <w:r>
        <w:rPr>
          <w:rFonts w:hint="default" w:cs="宋体"/>
          <w:sz w:val="21"/>
          <w:szCs w:val="21"/>
        </w:rPr>
        <w:t>月</w:t>
      </w:r>
      <w:r>
        <w:rPr>
          <w:rFonts w:hint="eastAsia" w:cs="宋体"/>
          <w:sz w:val="21"/>
          <w:szCs w:val="21"/>
          <w:lang w:val="en-US" w:eastAsia="zh-CN"/>
        </w:rPr>
        <w:t xml:space="preserve">14 </w:t>
      </w:r>
      <w:r>
        <w:rPr>
          <w:rFonts w:hint="default" w:cs="宋体"/>
          <w:sz w:val="21"/>
          <w:szCs w:val="21"/>
        </w:rPr>
        <w:t>日～ 202</w:t>
      </w:r>
      <w:r>
        <w:rPr>
          <w:rFonts w:hint="eastAsia" w:cs="宋体"/>
          <w:sz w:val="21"/>
          <w:szCs w:val="21"/>
          <w:lang w:val="en-US" w:eastAsia="zh-CN"/>
        </w:rPr>
        <w:t>2</w:t>
      </w:r>
      <w:r>
        <w:rPr>
          <w:rFonts w:hint="default" w:cs="宋体"/>
          <w:sz w:val="21"/>
          <w:szCs w:val="21"/>
        </w:rPr>
        <w:t>年</w:t>
      </w:r>
      <w:r>
        <w:rPr>
          <w:rFonts w:hint="eastAsia" w:cs="宋体"/>
          <w:sz w:val="21"/>
          <w:szCs w:val="21"/>
          <w:lang w:val="en-US" w:eastAsia="zh-CN"/>
        </w:rPr>
        <w:t xml:space="preserve"> 1</w:t>
      </w:r>
      <w:r>
        <w:rPr>
          <w:rFonts w:hint="default" w:cs="宋体"/>
          <w:sz w:val="21"/>
          <w:szCs w:val="21"/>
        </w:rPr>
        <w:t>月</w:t>
      </w:r>
      <w:r>
        <w:rPr>
          <w:rFonts w:hint="eastAsia" w:cs="宋体"/>
          <w:sz w:val="21"/>
          <w:szCs w:val="21"/>
          <w:lang w:val="en-US" w:eastAsia="zh-CN"/>
        </w:rPr>
        <w:t xml:space="preserve">  21</w:t>
      </w:r>
      <w:r>
        <w:rPr>
          <w:rFonts w:hint="default" w:cs="宋体"/>
          <w:sz w:val="21"/>
          <w:szCs w:val="21"/>
        </w:rPr>
        <w:t>日9:</w:t>
      </w:r>
      <w:r>
        <w:rPr>
          <w:rFonts w:hint="eastAsia" w:cs="宋体"/>
          <w:sz w:val="21"/>
          <w:szCs w:val="21"/>
          <w:lang w:val="en-US" w:eastAsia="zh-CN"/>
        </w:rPr>
        <w:t>00</w:t>
      </w:r>
      <w:r>
        <w:rPr>
          <w:rFonts w:hint="default" w:cs="宋体"/>
          <w:sz w:val="21"/>
          <w:szCs w:val="21"/>
        </w:rPr>
        <w:t>时止（北京时间，下同）</w:t>
      </w:r>
      <w:r>
        <w:rPr>
          <w:rFonts w:hint="eastAsia" w:cs="宋体"/>
          <w:sz w:val="21"/>
          <w:szCs w:val="21"/>
          <w:lang w:eastAsia="zh-CN"/>
        </w:rPr>
        <w:t>到浏阳市人民医院</w:t>
      </w:r>
      <w:r>
        <w:rPr>
          <w:rFonts w:hint="eastAsia" w:cs="宋体"/>
          <w:sz w:val="21"/>
          <w:szCs w:val="21"/>
          <w:lang w:val="en-US" w:eastAsia="zh-CN"/>
        </w:rPr>
        <w:t>采购办</w:t>
      </w:r>
      <w:r>
        <w:rPr>
          <w:rFonts w:hint="eastAsia" w:cs="宋体"/>
          <w:sz w:val="21"/>
          <w:szCs w:val="21"/>
          <w:lang w:eastAsia="zh-CN"/>
        </w:rPr>
        <w:t>领取招标文件。</w:t>
      </w:r>
    </w:p>
    <w:p>
      <w:pPr>
        <w:adjustRightInd w:val="0"/>
        <w:snapToGrid w:val="0"/>
        <w:spacing w:line="360" w:lineRule="auto"/>
        <w:ind w:firstLine="422" w:firstLineChars="200"/>
        <w:rPr>
          <w:rFonts w:hint="default" w:cs="宋体"/>
          <w:b/>
          <w:bCs/>
          <w:sz w:val="21"/>
          <w:szCs w:val="21"/>
          <w:highlight w:val="none"/>
        </w:rPr>
      </w:pPr>
      <w:r>
        <w:rPr>
          <w:rFonts w:cs="宋体"/>
          <w:b/>
          <w:bCs/>
          <w:sz w:val="21"/>
          <w:szCs w:val="21"/>
          <w:highlight w:val="none"/>
        </w:rPr>
        <w:t>7、投标文件的递交</w:t>
      </w:r>
    </w:p>
    <w:p>
      <w:pPr>
        <w:adjustRightInd w:val="0"/>
        <w:snapToGrid w:val="0"/>
        <w:spacing w:line="360" w:lineRule="auto"/>
        <w:ind w:firstLine="480"/>
        <w:rPr>
          <w:rFonts w:hint="default" w:cs="宋体"/>
          <w:sz w:val="21"/>
          <w:szCs w:val="21"/>
          <w:highlight w:val="none"/>
        </w:rPr>
      </w:pPr>
      <w:r>
        <w:rPr>
          <w:rFonts w:cs="宋体"/>
          <w:sz w:val="21"/>
          <w:szCs w:val="21"/>
          <w:highlight w:val="none"/>
        </w:rPr>
        <w:t>7.1递交投标文件的截止时间（投标截止时间）及开标时间为</w:t>
      </w:r>
      <w:r>
        <w:rPr>
          <w:rFonts w:hint="eastAsia" w:cs="宋体"/>
          <w:sz w:val="21"/>
          <w:szCs w:val="21"/>
          <w:highlight w:val="none"/>
          <w:lang w:eastAsia="zh-CN"/>
        </w:rPr>
        <w:t>2022</w:t>
      </w:r>
      <w:r>
        <w:rPr>
          <w:rFonts w:cs="宋体"/>
          <w:sz w:val="21"/>
          <w:szCs w:val="21"/>
          <w:highlight w:val="none"/>
        </w:rPr>
        <w:t>年</w:t>
      </w:r>
      <w:r>
        <w:rPr>
          <w:rFonts w:hint="eastAsia" w:cs="宋体"/>
          <w:sz w:val="21"/>
          <w:szCs w:val="21"/>
          <w:highlight w:val="none"/>
          <w:lang w:val="en-US" w:eastAsia="zh-CN"/>
        </w:rPr>
        <w:t xml:space="preserve">1 </w:t>
      </w:r>
      <w:r>
        <w:rPr>
          <w:rFonts w:cs="宋体"/>
          <w:sz w:val="21"/>
          <w:szCs w:val="21"/>
          <w:highlight w:val="none"/>
        </w:rPr>
        <w:t>月</w:t>
      </w:r>
      <w:r>
        <w:rPr>
          <w:rFonts w:hint="eastAsia" w:cs="宋体"/>
          <w:sz w:val="21"/>
          <w:szCs w:val="21"/>
          <w:highlight w:val="none"/>
          <w:lang w:val="en-US" w:eastAsia="zh-CN"/>
        </w:rPr>
        <w:t xml:space="preserve">  21  </w:t>
      </w:r>
      <w:r>
        <w:rPr>
          <w:rFonts w:cs="宋体"/>
          <w:sz w:val="21"/>
          <w:szCs w:val="21"/>
          <w:highlight w:val="none"/>
        </w:rPr>
        <w:t>日9：</w:t>
      </w:r>
      <w:r>
        <w:rPr>
          <w:rFonts w:hint="eastAsia" w:cs="宋体"/>
          <w:sz w:val="21"/>
          <w:szCs w:val="21"/>
          <w:highlight w:val="none"/>
          <w:lang w:val="en-US" w:eastAsia="zh-CN"/>
        </w:rPr>
        <w:t>00</w:t>
      </w:r>
      <w:r>
        <w:rPr>
          <w:rFonts w:cs="宋体"/>
          <w:sz w:val="21"/>
          <w:szCs w:val="21"/>
          <w:highlight w:val="none"/>
        </w:rPr>
        <w:t>时（北京时间）；</w:t>
      </w:r>
    </w:p>
    <w:p>
      <w:pPr>
        <w:adjustRightInd w:val="0"/>
        <w:snapToGrid w:val="0"/>
        <w:spacing w:line="360" w:lineRule="auto"/>
        <w:ind w:firstLine="480"/>
        <w:rPr>
          <w:rFonts w:hint="default" w:cs="宋体"/>
          <w:sz w:val="21"/>
          <w:szCs w:val="21"/>
        </w:rPr>
      </w:pPr>
      <w:r>
        <w:rPr>
          <w:rFonts w:cs="宋体"/>
          <w:sz w:val="21"/>
          <w:szCs w:val="21"/>
        </w:rPr>
        <w:t>7.2投标文件递交地点及开标地点：</w:t>
      </w:r>
      <w:r>
        <w:rPr>
          <w:rFonts w:hint="eastAsia" w:cs="宋体"/>
          <w:sz w:val="21"/>
          <w:szCs w:val="21"/>
          <w:lang w:eastAsia="zh-CN"/>
        </w:rPr>
        <w:t>浏阳市人民医院</w:t>
      </w:r>
      <w:r>
        <w:rPr>
          <w:rFonts w:hint="eastAsia" w:cs="宋体"/>
          <w:sz w:val="21"/>
          <w:szCs w:val="21"/>
          <w:lang w:val="en-US" w:eastAsia="zh-CN"/>
        </w:rPr>
        <w:t>中央区四楼二会议室</w:t>
      </w:r>
      <w:bookmarkStart w:id="272" w:name="_GoBack"/>
      <w:bookmarkEnd w:id="272"/>
      <w:r>
        <w:rPr>
          <w:rFonts w:cs="宋体"/>
          <w:sz w:val="21"/>
          <w:szCs w:val="21"/>
        </w:rPr>
        <w:t>；</w:t>
      </w:r>
    </w:p>
    <w:p>
      <w:pPr>
        <w:adjustRightInd w:val="0"/>
        <w:snapToGrid w:val="0"/>
        <w:spacing w:line="360" w:lineRule="auto"/>
        <w:ind w:firstLine="480"/>
        <w:rPr>
          <w:rFonts w:hint="default" w:cs="宋体"/>
          <w:sz w:val="21"/>
          <w:szCs w:val="21"/>
        </w:rPr>
      </w:pPr>
      <w:r>
        <w:rPr>
          <w:rFonts w:cs="宋体"/>
          <w:sz w:val="21"/>
          <w:szCs w:val="21"/>
        </w:rPr>
        <w:t>7.3逾期送达的或者未送达指定地点的投标文件，招标人不予受理；</w:t>
      </w:r>
    </w:p>
    <w:p>
      <w:pPr>
        <w:adjustRightInd w:val="0"/>
        <w:snapToGrid w:val="0"/>
        <w:spacing w:line="360" w:lineRule="auto"/>
        <w:ind w:firstLine="480"/>
        <w:rPr>
          <w:rFonts w:hint="eastAsia" w:eastAsia="宋体" w:cs="宋体"/>
          <w:sz w:val="21"/>
          <w:szCs w:val="21"/>
          <w:lang w:eastAsia="zh-CN"/>
        </w:rPr>
      </w:pPr>
      <w:r>
        <w:rPr>
          <w:rFonts w:cs="宋体"/>
          <w:sz w:val="21"/>
          <w:szCs w:val="21"/>
        </w:rPr>
        <w:t>7.4</w:t>
      </w:r>
      <w:r>
        <w:rPr>
          <w:rFonts w:hint="eastAsia" w:cs="宋体"/>
          <w:sz w:val="21"/>
          <w:szCs w:val="21"/>
        </w:rPr>
        <w:t>投标人法定代表人或授权委托代理人须亲自到场参加投标</w:t>
      </w:r>
      <w:r>
        <w:rPr>
          <w:rFonts w:hint="eastAsia" w:cs="宋体"/>
          <w:sz w:val="21"/>
          <w:szCs w:val="21"/>
          <w:lang w:eastAsia="zh-CN"/>
        </w:rPr>
        <w:t>。</w:t>
      </w:r>
    </w:p>
    <w:p>
      <w:pPr>
        <w:numPr>
          <w:ilvl w:val="0"/>
          <w:numId w:val="0"/>
        </w:numPr>
        <w:adjustRightInd w:val="0"/>
        <w:snapToGrid w:val="0"/>
        <w:spacing w:line="360" w:lineRule="auto"/>
        <w:rPr>
          <w:rFonts w:hint="eastAsia" w:ascii="宋体" w:hAnsi="宋体" w:eastAsia="宋体" w:cs="宋体"/>
          <w:b/>
          <w:kern w:val="2"/>
          <w:sz w:val="21"/>
          <w:szCs w:val="21"/>
          <w:lang w:val="en-US" w:eastAsia="zh-CN" w:bidi="ar-SA"/>
        </w:rPr>
      </w:pPr>
      <w:r>
        <w:rPr>
          <w:rFonts w:hint="eastAsia" w:cs="宋体"/>
          <w:b/>
          <w:kern w:val="2"/>
          <w:sz w:val="21"/>
          <w:szCs w:val="21"/>
          <w:lang w:val="en-US" w:eastAsia="zh-CN" w:bidi="ar-SA"/>
        </w:rPr>
        <w:t>8、</w:t>
      </w:r>
      <w:r>
        <w:rPr>
          <w:rFonts w:hint="eastAsia" w:ascii="宋体" w:hAnsi="宋体" w:eastAsia="宋体" w:cs="宋体"/>
          <w:b/>
          <w:kern w:val="2"/>
          <w:sz w:val="21"/>
          <w:szCs w:val="21"/>
          <w:lang w:val="en-US" w:eastAsia="zh-CN" w:bidi="ar-SA"/>
        </w:rPr>
        <w:t>联系方式</w:t>
      </w:r>
    </w:p>
    <w:p>
      <w:pPr>
        <w:numPr>
          <w:ilvl w:val="0"/>
          <w:numId w:val="0"/>
        </w:numPr>
        <w:adjustRightInd w:val="0"/>
        <w:snapToGrid w:val="0"/>
        <w:spacing w:line="360" w:lineRule="auto"/>
        <w:jc w:val="left"/>
        <w:rPr>
          <w:rFonts w:hint="eastAsia" w:eastAsia="宋体" w:cs="宋体"/>
          <w:sz w:val="21"/>
          <w:szCs w:val="21"/>
          <w:lang w:eastAsia="zh-CN"/>
        </w:rPr>
      </w:pPr>
      <w:r>
        <w:rPr>
          <w:rFonts w:cs="宋体"/>
          <w:sz w:val="21"/>
          <w:szCs w:val="21"/>
        </w:rPr>
        <w:t xml:space="preserve"> </w:t>
      </w:r>
      <w:r>
        <w:rPr>
          <w:rFonts w:hint="eastAsia" w:cs="宋体"/>
          <w:sz w:val="21"/>
          <w:szCs w:val="21"/>
          <w:lang w:val="en-US" w:eastAsia="zh-CN"/>
        </w:rPr>
        <w:t xml:space="preserve"> </w:t>
      </w:r>
      <w:r>
        <w:rPr>
          <w:rFonts w:hint="eastAsia" w:cs="宋体"/>
          <w:sz w:val="21"/>
          <w:szCs w:val="21"/>
        </w:rPr>
        <w:t>招</w:t>
      </w:r>
      <w:r>
        <w:rPr>
          <w:rFonts w:hint="eastAsia" w:cs="宋体"/>
          <w:sz w:val="21"/>
          <w:szCs w:val="21"/>
          <w:lang w:val="en-US" w:eastAsia="zh-CN"/>
        </w:rPr>
        <w:t xml:space="preserve"> </w:t>
      </w:r>
      <w:r>
        <w:rPr>
          <w:rFonts w:hint="eastAsia" w:cs="宋体"/>
          <w:sz w:val="21"/>
          <w:szCs w:val="21"/>
        </w:rPr>
        <w:t xml:space="preserve"> 标 人：</w:t>
      </w:r>
      <w:r>
        <w:rPr>
          <w:rFonts w:hint="eastAsia" w:cs="宋体"/>
          <w:sz w:val="21"/>
          <w:szCs w:val="21"/>
          <w:lang w:eastAsia="zh-CN"/>
        </w:rPr>
        <w:t>浏阳市人民医院</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地    址：</w:t>
      </w:r>
      <w:r>
        <w:rPr>
          <w:rFonts w:hint="eastAsia" w:cs="宋体"/>
          <w:sz w:val="21"/>
          <w:szCs w:val="21"/>
          <w:lang w:val="en-US" w:eastAsia="zh-CN"/>
        </w:rPr>
        <w:t>浏阳市道吾山路</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联 系 人：</w:t>
      </w:r>
      <w:r>
        <w:rPr>
          <w:rFonts w:hint="eastAsia" w:cs="宋体"/>
          <w:sz w:val="21"/>
          <w:szCs w:val="21"/>
          <w:lang w:val="en-US" w:eastAsia="zh-CN"/>
        </w:rPr>
        <w:t>刘宏</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电    话：</w:t>
      </w:r>
      <w:r>
        <w:rPr>
          <w:rFonts w:hint="eastAsia" w:cs="宋体"/>
          <w:sz w:val="21"/>
          <w:szCs w:val="21"/>
          <w:lang w:val="en-US" w:eastAsia="zh-CN"/>
        </w:rPr>
        <w:t>13907497269</w:t>
      </w:r>
    </w:p>
    <w:p>
      <w:pPr>
        <w:jc w:val="center"/>
        <w:rPr>
          <w:rFonts w:hint="default"/>
          <w:b/>
        </w:rPr>
      </w:pPr>
    </w:p>
    <w:p>
      <w:pPr>
        <w:pStyle w:val="2"/>
        <w:rPr>
          <w:rFonts w:hint="default"/>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rPr>
          <w:rFonts w:hint="default"/>
          <w:b/>
        </w:rPr>
      </w:pPr>
    </w:p>
    <w:p>
      <w:pPr>
        <w:rPr>
          <w:rFonts w:hint="default"/>
          <w:b/>
        </w:rPr>
      </w:pPr>
    </w:p>
    <w:p>
      <w:pPr>
        <w:pStyle w:val="4"/>
        <w:numPr>
          <w:ilvl w:val="0"/>
          <w:numId w:val="2"/>
        </w:numPr>
        <w:rPr>
          <w:rFonts w:ascii="宋体" w:eastAsia="宋体"/>
          <w:b/>
          <w:bCs/>
          <w:sz w:val="48"/>
          <w:szCs w:val="48"/>
        </w:rPr>
      </w:pPr>
      <w:bookmarkStart w:id="15" w:name="_Toc431071427"/>
      <w:bookmarkStart w:id="16" w:name="_Toc309294739"/>
      <w:r>
        <w:rPr>
          <w:rFonts w:hint="eastAsia" w:ascii="宋体" w:eastAsia="宋体"/>
          <w:b/>
          <w:bCs/>
          <w:sz w:val="48"/>
          <w:szCs w:val="48"/>
        </w:rPr>
        <w:t xml:space="preserve"> 投标人</w:t>
      </w:r>
      <w:bookmarkStart w:id="17" w:name="_Hlt233447764"/>
      <w:bookmarkEnd w:id="17"/>
      <w:bookmarkStart w:id="18" w:name="_Hlt235589582"/>
      <w:bookmarkEnd w:id="18"/>
      <w:bookmarkStart w:id="19" w:name="_Hlt235589797"/>
      <w:bookmarkEnd w:id="19"/>
      <w:bookmarkStart w:id="20" w:name="_Hlt233558777"/>
      <w:bookmarkEnd w:id="20"/>
      <w:bookmarkStart w:id="21" w:name="_Hlt226624007"/>
      <w:bookmarkEnd w:id="21"/>
      <w:bookmarkStart w:id="22" w:name="_Toc235592892"/>
      <w:bookmarkStart w:id="23" w:name="_Toc193115690"/>
      <w:bookmarkStart w:id="24" w:name="_Toc238546320"/>
      <w:r>
        <w:rPr>
          <w:rFonts w:ascii="宋体" w:eastAsia="宋体"/>
          <w:b/>
          <w:bCs/>
          <w:sz w:val="48"/>
          <w:szCs w:val="48"/>
        </w:rPr>
        <w:t>须知</w:t>
      </w:r>
      <w:bookmarkEnd w:id="15"/>
      <w:bookmarkEnd w:id="16"/>
    </w:p>
    <w:p>
      <w:pPr>
        <w:pStyle w:val="4"/>
        <w:numPr>
          <w:ilvl w:val="0"/>
          <w:numId w:val="0"/>
        </w:numPr>
        <w:jc w:val="center"/>
        <w:rPr>
          <w:rFonts w:hint="default" w:ascii="黑体" w:hAnsi="黑体" w:eastAsia="黑体" w:cs="黑体"/>
          <w:bCs/>
          <w:sz w:val="28"/>
        </w:rPr>
      </w:pPr>
      <w:r>
        <w:rPr>
          <w:rFonts w:ascii="黑体" w:hAnsi="黑体" w:eastAsia="黑体" w:cs="黑体"/>
          <w:bCs/>
          <w:sz w:val="28"/>
        </w:rPr>
        <w:t>（一）投标人须知前附表</w:t>
      </w:r>
      <w:bookmarkEnd w:id="22"/>
      <w:bookmarkEnd w:id="23"/>
      <w:bookmarkEnd w:id="24"/>
      <w:bookmarkStart w:id="25" w:name="_Toc193115691"/>
    </w:p>
    <w:tbl>
      <w:tblPr>
        <w:tblStyle w:val="18"/>
        <w:tblW w:w="100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005"/>
        <w:gridCol w:w="7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739" w:type="dxa"/>
            <w:tcBorders>
              <w:right w:val="single" w:color="auto" w:sz="4" w:space="0"/>
            </w:tcBorders>
            <w:vAlign w:val="center"/>
          </w:tcPr>
          <w:p>
            <w:pPr>
              <w:jc w:val="center"/>
              <w:rPr>
                <w:rFonts w:hint="default"/>
                <w:sz w:val="21"/>
                <w:szCs w:val="21"/>
              </w:rPr>
            </w:pPr>
            <w:r>
              <w:rPr>
                <w:sz w:val="21"/>
                <w:szCs w:val="21"/>
              </w:rPr>
              <w:t>序号</w:t>
            </w:r>
          </w:p>
        </w:tc>
        <w:tc>
          <w:tcPr>
            <w:tcW w:w="2005" w:type="dxa"/>
            <w:tcBorders>
              <w:left w:val="single" w:color="auto" w:sz="4" w:space="0"/>
            </w:tcBorders>
            <w:vAlign w:val="center"/>
          </w:tcPr>
          <w:p>
            <w:pPr>
              <w:jc w:val="center"/>
              <w:rPr>
                <w:rFonts w:hint="default"/>
                <w:sz w:val="21"/>
                <w:szCs w:val="21"/>
              </w:rPr>
            </w:pPr>
            <w:r>
              <w:rPr>
                <w:sz w:val="21"/>
                <w:szCs w:val="21"/>
              </w:rPr>
              <w:t>条款名称</w:t>
            </w:r>
          </w:p>
        </w:tc>
        <w:tc>
          <w:tcPr>
            <w:tcW w:w="7265" w:type="dxa"/>
            <w:vAlign w:val="center"/>
          </w:tcPr>
          <w:p>
            <w:pPr>
              <w:jc w:val="center"/>
              <w:rPr>
                <w:rFonts w:hint="default"/>
                <w:sz w:val="21"/>
                <w:szCs w:val="21"/>
              </w:rPr>
            </w:pPr>
            <w:r>
              <w:rPr>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739" w:type="dxa"/>
            <w:tcBorders>
              <w:right w:val="single" w:color="auto" w:sz="4" w:space="0"/>
            </w:tcBorders>
            <w:vAlign w:val="center"/>
          </w:tcPr>
          <w:p>
            <w:pPr>
              <w:jc w:val="center"/>
              <w:rPr>
                <w:rFonts w:hint="default"/>
                <w:sz w:val="21"/>
                <w:szCs w:val="21"/>
              </w:rPr>
            </w:pPr>
            <w:r>
              <w:rPr>
                <w:sz w:val="21"/>
                <w:szCs w:val="21"/>
              </w:rPr>
              <w:t>1</w:t>
            </w:r>
          </w:p>
        </w:tc>
        <w:tc>
          <w:tcPr>
            <w:tcW w:w="2005" w:type="dxa"/>
            <w:tcBorders>
              <w:left w:val="single" w:color="auto" w:sz="4" w:space="0"/>
            </w:tcBorders>
            <w:vAlign w:val="center"/>
          </w:tcPr>
          <w:p>
            <w:pPr>
              <w:rPr>
                <w:rFonts w:hint="default"/>
                <w:sz w:val="21"/>
                <w:szCs w:val="21"/>
              </w:rPr>
            </w:pPr>
            <w:r>
              <w:rPr>
                <w:sz w:val="21"/>
                <w:szCs w:val="21"/>
              </w:rPr>
              <w:t>招标人</w:t>
            </w:r>
          </w:p>
        </w:tc>
        <w:tc>
          <w:tcPr>
            <w:tcW w:w="7265" w:type="dxa"/>
            <w:vAlign w:val="center"/>
          </w:tcPr>
          <w:p>
            <w:pPr>
              <w:rPr>
                <w:rFonts w:hint="eastAsia" w:eastAsia="宋体"/>
                <w:sz w:val="21"/>
                <w:szCs w:val="21"/>
                <w:lang w:eastAsia="zh-CN"/>
              </w:rPr>
            </w:pPr>
            <w:r>
              <w:rPr>
                <w:rFonts w:hint="eastAsia"/>
                <w:sz w:val="21"/>
                <w:szCs w:val="21"/>
                <w:lang w:eastAsia="zh-CN"/>
              </w:rPr>
              <w:t>浏阳市人民医院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2</w:t>
            </w:r>
          </w:p>
        </w:tc>
        <w:tc>
          <w:tcPr>
            <w:tcW w:w="2005" w:type="dxa"/>
            <w:tcBorders>
              <w:left w:val="single" w:color="auto" w:sz="4" w:space="0"/>
            </w:tcBorders>
            <w:vAlign w:val="center"/>
          </w:tcPr>
          <w:p>
            <w:pPr>
              <w:rPr>
                <w:rFonts w:hint="default"/>
                <w:sz w:val="21"/>
                <w:szCs w:val="21"/>
              </w:rPr>
            </w:pPr>
            <w:r>
              <w:rPr>
                <w:sz w:val="21"/>
                <w:szCs w:val="21"/>
              </w:rPr>
              <w:t>项目名称</w:t>
            </w:r>
          </w:p>
        </w:tc>
        <w:tc>
          <w:tcPr>
            <w:tcW w:w="7265" w:type="dxa"/>
            <w:vAlign w:val="center"/>
          </w:tcPr>
          <w:p>
            <w:pPr>
              <w:rPr>
                <w:rFonts w:hint="default"/>
                <w:sz w:val="21"/>
                <w:szCs w:val="21"/>
              </w:rPr>
            </w:pPr>
            <w:r>
              <w:rPr>
                <w:rFonts w:hint="eastAsia"/>
                <w:sz w:val="21"/>
                <w:szCs w:val="21"/>
                <w:lang w:eastAsia="zh-CN"/>
              </w:rPr>
              <w:t>浏阳市人民医院小项目预算定点单位入围招标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39" w:type="dxa"/>
            <w:tcBorders>
              <w:right w:val="single" w:color="auto" w:sz="4" w:space="0"/>
            </w:tcBorders>
            <w:vAlign w:val="center"/>
          </w:tcPr>
          <w:p>
            <w:pPr>
              <w:jc w:val="center"/>
              <w:rPr>
                <w:rFonts w:hint="default"/>
                <w:sz w:val="21"/>
                <w:szCs w:val="21"/>
              </w:rPr>
            </w:pPr>
            <w:r>
              <w:rPr>
                <w:sz w:val="21"/>
                <w:szCs w:val="21"/>
              </w:rPr>
              <w:t>3</w:t>
            </w:r>
          </w:p>
        </w:tc>
        <w:tc>
          <w:tcPr>
            <w:tcW w:w="2005" w:type="dxa"/>
            <w:tcBorders>
              <w:left w:val="single" w:color="auto" w:sz="4" w:space="0"/>
            </w:tcBorders>
            <w:vAlign w:val="center"/>
          </w:tcPr>
          <w:p>
            <w:pPr>
              <w:rPr>
                <w:rFonts w:hint="default"/>
                <w:sz w:val="21"/>
                <w:szCs w:val="21"/>
              </w:rPr>
            </w:pPr>
            <w:r>
              <w:rPr>
                <w:sz w:val="21"/>
                <w:szCs w:val="21"/>
              </w:rPr>
              <w:t>工程概况</w:t>
            </w:r>
          </w:p>
        </w:tc>
        <w:tc>
          <w:tcPr>
            <w:tcW w:w="7265" w:type="dxa"/>
            <w:vAlign w:val="center"/>
          </w:tcPr>
          <w:p>
            <w:pPr>
              <w:adjustRightInd w:val="0"/>
              <w:snapToGrid w:val="0"/>
              <w:spacing w:line="360" w:lineRule="auto"/>
              <w:rPr>
                <w:rFonts w:hint="default"/>
                <w:sz w:val="21"/>
                <w:szCs w:val="21"/>
              </w:rPr>
            </w:pPr>
            <w:r>
              <w:rPr>
                <w:rFonts w:hint="eastAsia" w:cs="宋体"/>
                <w:bCs/>
                <w:sz w:val="21"/>
                <w:szCs w:val="21"/>
                <w:lang w:eastAsia="zh-CN"/>
              </w:rPr>
              <w:t>浏阳市人民医院小项目预算定点单位入围招标</w:t>
            </w:r>
            <w:r>
              <w:rPr>
                <w:rFonts w:hint="default" w:cs="宋体"/>
                <w:bCs/>
                <w:sz w:val="21"/>
                <w:szCs w:val="21"/>
              </w:rPr>
              <w:t>，主要为招标人提供</w:t>
            </w:r>
            <w:r>
              <w:rPr>
                <w:rFonts w:hint="eastAsia" w:cs="宋体"/>
                <w:bCs/>
                <w:sz w:val="21"/>
                <w:szCs w:val="21"/>
                <w:lang w:eastAsia="zh-CN"/>
              </w:rPr>
              <w:t>小项目预算相关服务</w:t>
            </w:r>
            <w:r>
              <w:rPr>
                <w:rFonts w:hint="eastAsia" w:cs="宋体"/>
                <w:bCs/>
                <w:sz w:val="21"/>
                <w:szCs w:val="21"/>
                <w:lang w:val="en-US" w:eastAsia="zh-CN"/>
              </w:rPr>
              <w:t>，咨询服务费上限价参照《浏阳市造价咨询中介机构管理办法》（浏财函[2020]41号）规定标准，咨询服务时间、质量按相关文件要求执行</w:t>
            </w:r>
            <w:r>
              <w:rPr>
                <w:rFonts w:hint="default" w:cs="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4</w:t>
            </w:r>
          </w:p>
        </w:tc>
        <w:tc>
          <w:tcPr>
            <w:tcW w:w="2005" w:type="dxa"/>
            <w:tcBorders>
              <w:left w:val="single" w:color="auto" w:sz="4" w:space="0"/>
            </w:tcBorders>
            <w:vAlign w:val="center"/>
          </w:tcPr>
          <w:p>
            <w:pPr>
              <w:rPr>
                <w:rFonts w:hint="default"/>
                <w:sz w:val="21"/>
                <w:szCs w:val="21"/>
              </w:rPr>
            </w:pPr>
            <w:r>
              <w:rPr>
                <w:sz w:val="21"/>
                <w:szCs w:val="21"/>
              </w:rPr>
              <w:t>资金来源</w:t>
            </w:r>
          </w:p>
        </w:tc>
        <w:tc>
          <w:tcPr>
            <w:tcW w:w="7265" w:type="dxa"/>
            <w:vAlign w:val="center"/>
          </w:tcPr>
          <w:p>
            <w:pPr>
              <w:rPr>
                <w:rFonts w:hint="default"/>
                <w:sz w:val="21"/>
                <w:szCs w:val="21"/>
              </w:rPr>
            </w:pPr>
            <w:r>
              <w:rPr>
                <w:sz w:val="21"/>
                <w:szCs w:val="21"/>
              </w:rPr>
              <w:t>自筹资金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5</w:t>
            </w:r>
          </w:p>
        </w:tc>
        <w:tc>
          <w:tcPr>
            <w:tcW w:w="2005" w:type="dxa"/>
            <w:tcBorders>
              <w:left w:val="single" w:color="auto" w:sz="4" w:space="0"/>
            </w:tcBorders>
            <w:vAlign w:val="center"/>
          </w:tcPr>
          <w:p>
            <w:pPr>
              <w:rPr>
                <w:rFonts w:hint="default"/>
                <w:sz w:val="21"/>
                <w:szCs w:val="21"/>
              </w:rPr>
            </w:pPr>
            <w:r>
              <w:rPr>
                <w:sz w:val="21"/>
                <w:szCs w:val="21"/>
              </w:rPr>
              <w:t>资金落实情况</w:t>
            </w:r>
          </w:p>
        </w:tc>
        <w:tc>
          <w:tcPr>
            <w:tcW w:w="7265" w:type="dxa"/>
            <w:vAlign w:val="center"/>
          </w:tcPr>
          <w:p>
            <w:pPr>
              <w:rPr>
                <w:rFonts w:hint="default"/>
                <w:sz w:val="21"/>
                <w:szCs w:val="21"/>
              </w:rPr>
            </w:pPr>
            <w:r>
              <w:rPr>
                <w:sz w:val="21"/>
                <w:szCs w:val="21"/>
              </w:rPr>
              <w:t>资金来源已落实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6</w:t>
            </w:r>
          </w:p>
        </w:tc>
        <w:tc>
          <w:tcPr>
            <w:tcW w:w="2005" w:type="dxa"/>
            <w:tcBorders>
              <w:left w:val="single" w:color="auto" w:sz="4" w:space="0"/>
            </w:tcBorders>
            <w:vAlign w:val="center"/>
          </w:tcPr>
          <w:p>
            <w:pPr>
              <w:rPr>
                <w:rFonts w:hint="default"/>
                <w:sz w:val="21"/>
                <w:szCs w:val="21"/>
              </w:rPr>
            </w:pPr>
            <w:r>
              <w:rPr>
                <w:sz w:val="21"/>
                <w:szCs w:val="21"/>
              </w:rPr>
              <w:t>质量要求</w:t>
            </w:r>
          </w:p>
        </w:tc>
        <w:tc>
          <w:tcPr>
            <w:tcW w:w="7265" w:type="dxa"/>
            <w:vAlign w:val="center"/>
          </w:tcPr>
          <w:p>
            <w:pPr>
              <w:rPr>
                <w:rFonts w:hint="default"/>
                <w:sz w:val="21"/>
                <w:szCs w:val="21"/>
              </w:rPr>
            </w:pPr>
            <w:r>
              <w:rPr>
                <w:rFonts w:hint="default"/>
                <w:sz w:val="21"/>
                <w:szCs w:val="21"/>
              </w:rPr>
              <w:t>达到相关规范要求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39" w:type="dxa"/>
            <w:tcBorders>
              <w:right w:val="single" w:color="auto" w:sz="4" w:space="0"/>
            </w:tcBorders>
            <w:vAlign w:val="center"/>
          </w:tcPr>
          <w:p>
            <w:pPr>
              <w:jc w:val="center"/>
              <w:rPr>
                <w:rFonts w:hint="default"/>
                <w:sz w:val="21"/>
                <w:szCs w:val="21"/>
              </w:rPr>
            </w:pPr>
            <w:r>
              <w:rPr>
                <w:sz w:val="21"/>
                <w:szCs w:val="21"/>
              </w:rPr>
              <w:t>7</w:t>
            </w:r>
          </w:p>
        </w:tc>
        <w:tc>
          <w:tcPr>
            <w:tcW w:w="2005" w:type="dxa"/>
            <w:tcBorders>
              <w:left w:val="single" w:color="auto" w:sz="4" w:space="0"/>
            </w:tcBorders>
            <w:vAlign w:val="center"/>
          </w:tcPr>
          <w:p>
            <w:pPr>
              <w:rPr>
                <w:rFonts w:hint="default"/>
                <w:sz w:val="21"/>
                <w:szCs w:val="21"/>
              </w:rPr>
            </w:pPr>
            <w:r>
              <w:rPr>
                <w:sz w:val="21"/>
                <w:szCs w:val="21"/>
              </w:rPr>
              <w:t>招标范围</w:t>
            </w:r>
          </w:p>
        </w:tc>
        <w:tc>
          <w:tcPr>
            <w:tcW w:w="7265" w:type="dxa"/>
            <w:vAlign w:val="center"/>
          </w:tcPr>
          <w:p>
            <w:pPr>
              <w:rPr>
                <w:rFonts w:hint="eastAsia" w:eastAsia="宋体"/>
                <w:sz w:val="21"/>
                <w:szCs w:val="21"/>
                <w:lang w:val="en-US" w:eastAsia="zh-CN"/>
              </w:rPr>
            </w:pPr>
            <w:r>
              <w:rPr>
                <w:rFonts w:hint="eastAsia" w:cs="宋体"/>
                <w:sz w:val="21"/>
                <w:szCs w:val="21"/>
              </w:rPr>
              <w:t>本次招标将根据评委推荐的投标人最终排序情况，按第一名和第二名作为本项目的中标候选人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39" w:type="dxa"/>
            <w:tcBorders>
              <w:right w:val="single" w:color="auto" w:sz="4" w:space="0"/>
            </w:tcBorders>
            <w:vAlign w:val="center"/>
          </w:tcPr>
          <w:p>
            <w:pPr>
              <w:jc w:val="center"/>
              <w:rPr>
                <w:rFonts w:hint="default"/>
                <w:sz w:val="21"/>
                <w:szCs w:val="21"/>
              </w:rPr>
            </w:pPr>
            <w:r>
              <w:rPr>
                <w:sz w:val="21"/>
                <w:szCs w:val="21"/>
              </w:rPr>
              <w:t>8</w:t>
            </w:r>
          </w:p>
        </w:tc>
        <w:tc>
          <w:tcPr>
            <w:tcW w:w="2005" w:type="dxa"/>
            <w:tcBorders>
              <w:left w:val="single" w:color="auto" w:sz="4" w:space="0"/>
            </w:tcBorders>
            <w:vAlign w:val="center"/>
          </w:tcPr>
          <w:p>
            <w:pPr>
              <w:rPr>
                <w:rFonts w:hint="default"/>
                <w:sz w:val="21"/>
                <w:szCs w:val="21"/>
              </w:rPr>
            </w:pPr>
            <w:r>
              <w:rPr>
                <w:sz w:val="21"/>
                <w:szCs w:val="21"/>
              </w:rPr>
              <w:t>服务周期</w:t>
            </w:r>
          </w:p>
        </w:tc>
        <w:tc>
          <w:tcPr>
            <w:tcW w:w="7265" w:type="dxa"/>
            <w:vAlign w:val="center"/>
          </w:tcPr>
          <w:p>
            <w:pPr>
              <w:rPr>
                <w:rFonts w:hint="default" w:eastAsia="宋体"/>
                <w:sz w:val="21"/>
                <w:szCs w:val="21"/>
                <w:lang w:val="en-US" w:eastAsia="zh-CN"/>
              </w:rPr>
            </w:pPr>
            <w:r>
              <w:rPr>
                <w:sz w:val="21"/>
                <w:szCs w:val="21"/>
              </w:rPr>
              <w:t>结合实际情况，服务期</w:t>
            </w:r>
            <w:r>
              <w:rPr>
                <w:rFonts w:hint="eastAsia"/>
                <w:sz w:val="21"/>
                <w:szCs w:val="21"/>
                <w:lang w:val="en-US" w:eastAsia="zh-CN"/>
              </w:rPr>
              <w:t>限</w:t>
            </w:r>
            <w:r>
              <w:rPr>
                <w:rFonts w:hint="eastAsia"/>
                <w:sz w:val="21"/>
                <w:szCs w:val="21"/>
                <w:lang w:eastAsia="zh-CN"/>
              </w:rPr>
              <w:t>为</w:t>
            </w:r>
            <w:r>
              <w:rPr>
                <w:rFonts w:hint="eastAsia"/>
                <w:sz w:val="21"/>
                <w:szCs w:val="21"/>
                <w:lang w:val="en-US" w:eastAsia="zh-CN"/>
              </w:rPr>
              <w:t>3个年度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9</w:t>
            </w:r>
          </w:p>
        </w:tc>
        <w:tc>
          <w:tcPr>
            <w:tcW w:w="2005" w:type="dxa"/>
            <w:tcBorders>
              <w:left w:val="single" w:color="auto" w:sz="4" w:space="0"/>
            </w:tcBorders>
            <w:vAlign w:val="center"/>
          </w:tcPr>
          <w:p>
            <w:pPr>
              <w:rPr>
                <w:rFonts w:hint="default"/>
                <w:sz w:val="21"/>
                <w:szCs w:val="21"/>
                <w:highlight w:val="cyan"/>
              </w:rPr>
            </w:pPr>
            <w:r>
              <w:rPr>
                <w:sz w:val="21"/>
                <w:szCs w:val="21"/>
              </w:rPr>
              <w:t>取费基数及范围</w:t>
            </w:r>
          </w:p>
        </w:tc>
        <w:tc>
          <w:tcPr>
            <w:tcW w:w="7265" w:type="dxa"/>
            <w:vAlign w:val="center"/>
          </w:tcPr>
          <w:p>
            <w:pPr>
              <w:pStyle w:val="16"/>
              <w:widowControl w:val="0"/>
              <w:adjustRightInd w:val="0"/>
              <w:snapToGrid w:val="0"/>
              <w:spacing w:before="0" w:beforeAutospacing="0" w:after="0" w:afterAutospacing="0" w:line="360" w:lineRule="auto"/>
              <w:rPr>
                <w:rFonts w:hint="default"/>
                <w:sz w:val="21"/>
                <w:szCs w:val="21"/>
              </w:rPr>
            </w:pPr>
            <w:r>
              <w:rPr>
                <w:rFonts w:hint="eastAsia"/>
                <w:color w:val="FF0000"/>
                <w:sz w:val="21"/>
                <w:szCs w:val="21"/>
              </w:rPr>
              <w:t>根据湘建价协〔2016〕25 号进行下浮率填报。最终费率将会按照</w:t>
            </w:r>
            <w:r>
              <w:rPr>
                <w:rFonts w:hint="eastAsia"/>
                <w:color w:val="FF0000"/>
                <w:sz w:val="21"/>
                <w:szCs w:val="21"/>
                <w:lang w:val="en-US" w:eastAsia="zh-CN"/>
              </w:rPr>
              <w:t>2名中标人</w:t>
            </w:r>
            <w:r>
              <w:rPr>
                <w:rFonts w:hint="eastAsia"/>
                <w:color w:val="FF0000"/>
                <w:sz w:val="21"/>
                <w:szCs w:val="21"/>
              </w:rPr>
              <w:t>的算术平均值确定。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39" w:type="dxa"/>
            <w:tcBorders>
              <w:right w:val="single" w:color="auto" w:sz="4" w:space="0"/>
            </w:tcBorders>
            <w:vAlign w:val="center"/>
          </w:tcPr>
          <w:p>
            <w:pPr>
              <w:jc w:val="center"/>
              <w:rPr>
                <w:rFonts w:hint="default"/>
                <w:sz w:val="21"/>
                <w:szCs w:val="21"/>
              </w:rPr>
            </w:pPr>
            <w:r>
              <w:rPr>
                <w:sz w:val="21"/>
                <w:szCs w:val="21"/>
              </w:rPr>
              <w:t>10</w:t>
            </w:r>
          </w:p>
        </w:tc>
        <w:tc>
          <w:tcPr>
            <w:tcW w:w="2005" w:type="dxa"/>
            <w:tcBorders>
              <w:left w:val="single" w:color="auto" w:sz="4" w:space="0"/>
            </w:tcBorders>
            <w:vAlign w:val="center"/>
          </w:tcPr>
          <w:p>
            <w:pPr>
              <w:rPr>
                <w:rFonts w:hint="default"/>
                <w:sz w:val="21"/>
                <w:szCs w:val="21"/>
              </w:rPr>
            </w:pPr>
            <w:r>
              <w:rPr>
                <w:sz w:val="21"/>
                <w:szCs w:val="21"/>
              </w:rPr>
              <w:t>投标人资质条件、能力和信誉</w:t>
            </w:r>
          </w:p>
        </w:tc>
        <w:tc>
          <w:tcPr>
            <w:tcW w:w="7265" w:type="dxa"/>
            <w:vAlign w:val="center"/>
          </w:tcPr>
          <w:p>
            <w:pPr>
              <w:rPr>
                <w:rFonts w:hint="default" w:cs="宋体"/>
                <w:b/>
                <w:kern w:val="0"/>
                <w:sz w:val="21"/>
                <w:szCs w:val="21"/>
              </w:rPr>
            </w:pPr>
            <w:r>
              <w:rPr>
                <w:kern w:val="0"/>
                <w:sz w:val="21"/>
                <w:szCs w:val="21"/>
              </w:rPr>
              <w:t>资质条件：见第一章招标公告第3条。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39" w:type="dxa"/>
            <w:tcBorders>
              <w:right w:val="single" w:color="auto" w:sz="4" w:space="0"/>
            </w:tcBorders>
            <w:vAlign w:val="center"/>
          </w:tcPr>
          <w:p>
            <w:pPr>
              <w:jc w:val="center"/>
              <w:rPr>
                <w:rFonts w:hint="default"/>
                <w:sz w:val="21"/>
                <w:szCs w:val="21"/>
              </w:rPr>
            </w:pPr>
            <w:r>
              <w:rPr>
                <w:sz w:val="21"/>
                <w:szCs w:val="21"/>
              </w:rPr>
              <w:t>11</w:t>
            </w:r>
          </w:p>
        </w:tc>
        <w:tc>
          <w:tcPr>
            <w:tcW w:w="2005" w:type="dxa"/>
            <w:tcBorders>
              <w:left w:val="single" w:color="auto" w:sz="4" w:space="0"/>
            </w:tcBorders>
            <w:vAlign w:val="center"/>
          </w:tcPr>
          <w:p>
            <w:pPr>
              <w:rPr>
                <w:rFonts w:hint="default"/>
                <w:sz w:val="21"/>
                <w:szCs w:val="21"/>
              </w:rPr>
            </w:pPr>
            <w:r>
              <w:rPr>
                <w:sz w:val="21"/>
                <w:szCs w:val="21"/>
              </w:rPr>
              <w:t>是否接受联合体投标</w:t>
            </w:r>
          </w:p>
        </w:tc>
        <w:tc>
          <w:tcPr>
            <w:tcW w:w="7265" w:type="dxa"/>
            <w:vAlign w:val="center"/>
          </w:tcPr>
          <w:p>
            <w:pPr>
              <w:rPr>
                <w:rFonts w:hint="default"/>
                <w:sz w:val="21"/>
                <w:szCs w:val="21"/>
              </w:rPr>
            </w:pPr>
            <w:r>
              <w:rPr>
                <w:sz w:val="21"/>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739" w:type="dxa"/>
            <w:tcBorders>
              <w:right w:val="single" w:color="auto" w:sz="4" w:space="0"/>
            </w:tcBorders>
            <w:vAlign w:val="center"/>
          </w:tcPr>
          <w:p>
            <w:pPr>
              <w:jc w:val="center"/>
              <w:rPr>
                <w:rFonts w:hint="default"/>
                <w:sz w:val="21"/>
                <w:szCs w:val="21"/>
              </w:rPr>
            </w:pPr>
            <w:r>
              <w:rPr>
                <w:sz w:val="21"/>
                <w:szCs w:val="21"/>
              </w:rPr>
              <w:t>12</w:t>
            </w:r>
          </w:p>
        </w:tc>
        <w:tc>
          <w:tcPr>
            <w:tcW w:w="2005" w:type="dxa"/>
            <w:tcBorders>
              <w:left w:val="single" w:color="auto" w:sz="4" w:space="0"/>
            </w:tcBorders>
            <w:vAlign w:val="center"/>
          </w:tcPr>
          <w:p>
            <w:pPr>
              <w:rPr>
                <w:rFonts w:hint="default"/>
                <w:sz w:val="21"/>
                <w:szCs w:val="21"/>
              </w:rPr>
            </w:pPr>
            <w:r>
              <w:rPr>
                <w:sz w:val="21"/>
                <w:szCs w:val="21"/>
              </w:rPr>
              <w:t>是否组织现场踏勘</w:t>
            </w:r>
          </w:p>
        </w:tc>
        <w:tc>
          <w:tcPr>
            <w:tcW w:w="7265" w:type="dxa"/>
            <w:vAlign w:val="center"/>
          </w:tcPr>
          <w:p>
            <w:pPr>
              <w:rPr>
                <w:rFonts w:hint="default"/>
                <w:sz w:val="21"/>
                <w:szCs w:val="21"/>
              </w:rPr>
            </w:pPr>
            <w:r>
              <w:rPr>
                <w:sz w:val="21"/>
                <w:szCs w:val="21"/>
              </w:rPr>
              <w:t>不统一组织，投标人自行踏勘。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13</w:t>
            </w:r>
          </w:p>
        </w:tc>
        <w:tc>
          <w:tcPr>
            <w:tcW w:w="2005" w:type="dxa"/>
            <w:tcBorders>
              <w:left w:val="single" w:color="auto" w:sz="4" w:space="0"/>
            </w:tcBorders>
            <w:vAlign w:val="center"/>
          </w:tcPr>
          <w:p>
            <w:pPr>
              <w:rPr>
                <w:rFonts w:hint="default"/>
                <w:sz w:val="21"/>
                <w:szCs w:val="21"/>
              </w:rPr>
            </w:pPr>
            <w:r>
              <w:rPr>
                <w:sz w:val="21"/>
                <w:szCs w:val="21"/>
              </w:rPr>
              <w:t>招标文件的获取</w:t>
            </w:r>
          </w:p>
        </w:tc>
        <w:tc>
          <w:tcPr>
            <w:tcW w:w="7265" w:type="dxa"/>
          </w:tcPr>
          <w:p>
            <w:pPr>
              <w:ind w:left="13" w:hanging="12" w:hangingChars="6"/>
              <w:rPr>
                <w:rFonts w:hint="eastAsia" w:eastAsia="宋体"/>
                <w:sz w:val="21"/>
                <w:szCs w:val="21"/>
                <w:highlight w:val="none"/>
                <w:lang w:eastAsia="zh-CN"/>
              </w:rPr>
            </w:pPr>
            <w:r>
              <w:rPr>
                <w:rFonts w:hint="eastAsia" w:cs="宋体"/>
                <w:sz w:val="21"/>
                <w:szCs w:val="21"/>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14</w:t>
            </w:r>
          </w:p>
        </w:tc>
        <w:tc>
          <w:tcPr>
            <w:tcW w:w="2005" w:type="dxa"/>
            <w:tcBorders>
              <w:left w:val="single" w:color="auto" w:sz="4" w:space="0"/>
            </w:tcBorders>
            <w:vAlign w:val="center"/>
          </w:tcPr>
          <w:p>
            <w:pPr>
              <w:rPr>
                <w:rFonts w:hint="default"/>
                <w:sz w:val="21"/>
                <w:szCs w:val="21"/>
              </w:rPr>
            </w:pPr>
            <w:r>
              <w:rPr>
                <w:sz w:val="21"/>
                <w:szCs w:val="21"/>
              </w:rPr>
              <w:t>投标人提出质疑的截止时间</w:t>
            </w:r>
          </w:p>
        </w:tc>
        <w:tc>
          <w:tcPr>
            <w:tcW w:w="7265" w:type="dxa"/>
            <w:vAlign w:val="center"/>
          </w:tcPr>
          <w:p>
            <w:pPr>
              <w:spacing w:line="360" w:lineRule="auto"/>
              <w:ind w:firstLine="420" w:firstLineChars="200"/>
              <w:rPr>
                <w:sz w:val="21"/>
                <w:szCs w:val="21"/>
                <w:highlight w:val="none"/>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sz w:val="21"/>
                <w:szCs w:val="21"/>
                <w:highlight w:val="none"/>
              </w:rPr>
              <w:t>月</w:t>
            </w:r>
            <w:r>
              <w:rPr>
                <w:rFonts w:hint="eastAsia"/>
                <w:sz w:val="21"/>
                <w:szCs w:val="21"/>
                <w:highlight w:val="none"/>
                <w:lang w:val="en-US" w:eastAsia="zh-CN"/>
              </w:rPr>
              <w:t xml:space="preserve">     </w:t>
            </w:r>
            <w:r>
              <w:rPr>
                <w:sz w:val="21"/>
                <w:szCs w:val="21"/>
                <w:highlight w:val="none"/>
              </w:rPr>
              <w:t>日17:00时（北京时间，下同）</w:t>
            </w:r>
            <w:bookmarkStart w:id="26" w:name="EB2bfabd24126f48128addb6e51ec83b20"/>
          </w:p>
          <w:bookmarkEnd w:id="26"/>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□以电子邮件形式发送到 @qq.com（邮件主题需填写该项目名称）进行提问，邮件内容不得透露投标单位信息。</w:t>
            </w:r>
          </w:p>
          <w:p>
            <w:pPr>
              <w:spacing w:line="360" w:lineRule="auto"/>
              <w:ind w:firstLine="420" w:firstLineChars="200"/>
              <w:rPr>
                <w:rFonts w:hint="default"/>
                <w:sz w:val="21"/>
                <w:szCs w:val="21"/>
                <w:highlight w:val="none"/>
              </w:rPr>
            </w:pPr>
            <w:r>
              <w:rPr>
                <w:rFonts w:hint="eastAsia"/>
                <w:sz w:val="21"/>
                <w:szCs w:val="21"/>
                <w:highlight w:val="none"/>
                <w:lang w:val="en-US" w:eastAsia="zh-CN"/>
              </w:rPr>
              <w:sym w:font="Wingdings 2" w:char="0052"/>
            </w:r>
            <w:r>
              <w:rPr>
                <w:rFonts w:hint="eastAsia"/>
                <w:sz w:val="21"/>
                <w:szCs w:val="21"/>
                <w:highlight w:val="none"/>
                <w:lang w:val="en-US" w:eastAsia="zh-CN"/>
              </w:rPr>
              <w:t>书面方式，提交至招标人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sz w:val="21"/>
                <w:szCs w:val="21"/>
                <w:lang w:val="en-US" w:eastAsia="zh-CN"/>
              </w:rPr>
              <w:t>15</w:t>
            </w:r>
          </w:p>
        </w:tc>
        <w:tc>
          <w:tcPr>
            <w:tcW w:w="2005" w:type="dxa"/>
            <w:tcBorders>
              <w:left w:val="single" w:color="auto" w:sz="4" w:space="0"/>
            </w:tcBorders>
            <w:vAlign w:val="center"/>
          </w:tcPr>
          <w:p>
            <w:pPr>
              <w:rPr>
                <w:rFonts w:hint="default"/>
                <w:kern w:val="0"/>
                <w:sz w:val="21"/>
                <w:szCs w:val="21"/>
              </w:rPr>
            </w:pPr>
            <w:r>
              <w:rPr>
                <w:kern w:val="0"/>
                <w:sz w:val="21"/>
                <w:szCs w:val="21"/>
              </w:rPr>
              <w:t>偏离</w:t>
            </w:r>
          </w:p>
        </w:tc>
        <w:tc>
          <w:tcPr>
            <w:tcW w:w="7265" w:type="dxa"/>
            <w:vAlign w:val="center"/>
          </w:tcPr>
          <w:p>
            <w:pPr>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16</w:t>
            </w:r>
          </w:p>
        </w:tc>
        <w:tc>
          <w:tcPr>
            <w:tcW w:w="2005" w:type="dxa"/>
            <w:tcBorders>
              <w:left w:val="single" w:color="auto" w:sz="4" w:space="0"/>
            </w:tcBorders>
            <w:vAlign w:val="center"/>
          </w:tcPr>
          <w:p>
            <w:pPr>
              <w:rPr>
                <w:rFonts w:hint="default"/>
                <w:kern w:val="0"/>
                <w:sz w:val="21"/>
                <w:szCs w:val="21"/>
              </w:rPr>
            </w:pPr>
            <w:r>
              <w:rPr>
                <w:kern w:val="0"/>
                <w:sz w:val="21"/>
                <w:szCs w:val="21"/>
              </w:rPr>
              <w:t>分包</w:t>
            </w:r>
          </w:p>
        </w:tc>
        <w:tc>
          <w:tcPr>
            <w:tcW w:w="7265" w:type="dxa"/>
            <w:vAlign w:val="center"/>
          </w:tcPr>
          <w:p>
            <w:pPr>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kern w:val="0"/>
                <w:sz w:val="21"/>
                <w:szCs w:val="21"/>
              </w:rPr>
              <w:t>1</w:t>
            </w:r>
            <w:r>
              <w:rPr>
                <w:rFonts w:hint="eastAsia"/>
                <w:kern w:val="0"/>
                <w:sz w:val="21"/>
                <w:szCs w:val="21"/>
                <w:lang w:val="en-US" w:eastAsia="zh-CN"/>
              </w:rPr>
              <w:t>7</w:t>
            </w:r>
          </w:p>
        </w:tc>
        <w:tc>
          <w:tcPr>
            <w:tcW w:w="2005" w:type="dxa"/>
            <w:tcBorders>
              <w:left w:val="single" w:color="auto" w:sz="4" w:space="0"/>
            </w:tcBorders>
            <w:vAlign w:val="center"/>
          </w:tcPr>
          <w:p>
            <w:pPr>
              <w:rPr>
                <w:rFonts w:hint="default"/>
                <w:kern w:val="0"/>
                <w:sz w:val="21"/>
                <w:szCs w:val="21"/>
              </w:rPr>
            </w:pPr>
            <w:r>
              <w:rPr>
                <w:kern w:val="0"/>
                <w:sz w:val="21"/>
                <w:szCs w:val="21"/>
              </w:rPr>
              <w:t>构成招标文件的其他资料</w:t>
            </w:r>
          </w:p>
        </w:tc>
        <w:tc>
          <w:tcPr>
            <w:tcW w:w="7265" w:type="dxa"/>
            <w:vAlign w:val="center"/>
          </w:tcPr>
          <w:p>
            <w:pPr>
              <w:rPr>
                <w:rFonts w:hint="default"/>
                <w:sz w:val="21"/>
                <w:szCs w:val="21"/>
              </w:rPr>
            </w:pPr>
            <w:bookmarkStart w:id="27" w:name="EB9c3c8bbcb2064eb0ab5c641af704bcbc"/>
            <w:r>
              <w:rPr>
                <w:rFonts w:hint="eastAsia"/>
                <w:kern w:val="0"/>
                <w:sz w:val="21"/>
                <w:szCs w:val="21"/>
              </w:rPr>
              <w:t>答疑、补遗等（如有）</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18</w:t>
            </w:r>
          </w:p>
        </w:tc>
        <w:tc>
          <w:tcPr>
            <w:tcW w:w="2005" w:type="dxa"/>
            <w:tcBorders>
              <w:left w:val="single" w:color="auto" w:sz="4" w:space="0"/>
            </w:tcBorders>
            <w:vAlign w:val="center"/>
          </w:tcPr>
          <w:p>
            <w:pPr>
              <w:rPr>
                <w:rFonts w:hint="default"/>
                <w:kern w:val="0"/>
                <w:sz w:val="21"/>
                <w:szCs w:val="21"/>
              </w:rPr>
            </w:pPr>
            <w:r>
              <w:rPr>
                <w:kern w:val="0"/>
                <w:sz w:val="21"/>
                <w:szCs w:val="21"/>
              </w:rPr>
              <w:t>招标文件澄清的截止时间</w:t>
            </w:r>
          </w:p>
        </w:tc>
        <w:tc>
          <w:tcPr>
            <w:tcW w:w="7265" w:type="dxa"/>
            <w:vAlign w:val="center"/>
          </w:tcPr>
          <w:p>
            <w:pPr>
              <w:rPr>
                <w:rFonts w:hint="default" w:eastAsia="宋体"/>
                <w:kern w:val="0"/>
                <w:sz w:val="21"/>
                <w:szCs w:val="21"/>
                <w:lang w:val="en-US" w:eastAsia="zh-CN"/>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sz w:val="21"/>
                <w:szCs w:val="21"/>
                <w:highlight w:val="none"/>
              </w:rPr>
              <w:t>月</w:t>
            </w:r>
            <w:r>
              <w:rPr>
                <w:rFonts w:hint="eastAsia"/>
                <w:sz w:val="21"/>
                <w:szCs w:val="21"/>
                <w:highlight w:val="none"/>
                <w:lang w:val="en-US" w:eastAsia="zh-CN"/>
              </w:rPr>
              <w:t xml:space="preserve">    </w:t>
            </w:r>
            <w:r>
              <w:rPr>
                <w:sz w:val="21"/>
                <w:szCs w:val="21"/>
                <w:highlight w:val="none"/>
              </w:rPr>
              <w:t>日17:00时（北京时间，下同）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19</w:t>
            </w:r>
          </w:p>
        </w:tc>
        <w:tc>
          <w:tcPr>
            <w:tcW w:w="2005" w:type="dxa"/>
            <w:tcBorders>
              <w:left w:val="single" w:color="auto" w:sz="4" w:space="0"/>
            </w:tcBorders>
            <w:vAlign w:val="center"/>
          </w:tcPr>
          <w:p>
            <w:pPr>
              <w:rPr>
                <w:rFonts w:hint="default"/>
                <w:kern w:val="0"/>
                <w:sz w:val="21"/>
                <w:szCs w:val="21"/>
              </w:rPr>
            </w:pPr>
            <w:r>
              <w:rPr>
                <w:kern w:val="0"/>
                <w:sz w:val="21"/>
                <w:szCs w:val="21"/>
              </w:rPr>
              <w:t>投标截止时间</w:t>
            </w:r>
          </w:p>
        </w:tc>
        <w:tc>
          <w:tcPr>
            <w:tcW w:w="7265" w:type="dxa"/>
            <w:vAlign w:val="center"/>
          </w:tcPr>
          <w:p>
            <w:pPr>
              <w:rPr>
                <w:rFonts w:hint="default"/>
                <w:kern w:val="0"/>
                <w:sz w:val="21"/>
                <w:szCs w:val="21"/>
                <w:highlight w:val="none"/>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rFonts w:hint="default"/>
                <w:sz w:val="21"/>
                <w:szCs w:val="21"/>
                <w:highlight w:val="none"/>
              </w:rPr>
              <w:t>月</w:t>
            </w:r>
            <w:r>
              <w:rPr>
                <w:rFonts w:hint="eastAsia"/>
                <w:sz w:val="21"/>
                <w:szCs w:val="21"/>
                <w:highlight w:val="none"/>
                <w:lang w:val="en-US" w:eastAsia="zh-CN"/>
              </w:rPr>
              <w:t xml:space="preserve">    </w:t>
            </w:r>
            <w:r>
              <w:rPr>
                <w:rFonts w:hint="default"/>
                <w:sz w:val="21"/>
                <w:szCs w:val="21"/>
                <w:highlight w:val="none"/>
              </w:rPr>
              <w:t>日</w:t>
            </w:r>
            <w:r>
              <w:rPr>
                <w:kern w:val="0"/>
                <w:sz w:val="21"/>
                <w:szCs w:val="21"/>
                <w:highlight w:val="none"/>
              </w:rPr>
              <w:t>9:</w:t>
            </w:r>
            <w:r>
              <w:rPr>
                <w:rFonts w:hint="eastAsia"/>
                <w:kern w:val="0"/>
                <w:sz w:val="21"/>
                <w:szCs w:val="21"/>
                <w:highlight w:val="none"/>
                <w:lang w:val="en-US" w:eastAsia="zh-CN"/>
              </w:rPr>
              <w:t>3</w:t>
            </w:r>
            <w:r>
              <w:rPr>
                <w:kern w:val="0"/>
                <w:sz w:val="21"/>
                <w:szCs w:val="21"/>
                <w:highlight w:val="none"/>
              </w:rPr>
              <w:t>0时（北京时间）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739" w:type="dxa"/>
            <w:tcBorders>
              <w:right w:val="single" w:color="auto" w:sz="4" w:space="0"/>
            </w:tcBorders>
            <w:vAlign w:val="center"/>
          </w:tcPr>
          <w:p>
            <w:pPr>
              <w:spacing w:line="360" w:lineRule="exact"/>
              <w:jc w:val="center"/>
              <w:rPr>
                <w:rFonts w:hint="default" w:eastAsia="宋体"/>
                <w:kern w:val="0"/>
                <w:sz w:val="21"/>
                <w:szCs w:val="21"/>
                <w:lang w:val="en-US" w:eastAsia="zh-CN"/>
              </w:rPr>
            </w:pPr>
            <w:r>
              <w:rPr>
                <w:rFonts w:hint="eastAsia"/>
                <w:kern w:val="0"/>
                <w:sz w:val="21"/>
                <w:szCs w:val="21"/>
                <w:lang w:val="en-US" w:eastAsia="zh-CN"/>
              </w:rPr>
              <w:t>20</w:t>
            </w:r>
          </w:p>
        </w:tc>
        <w:tc>
          <w:tcPr>
            <w:tcW w:w="2005" w:type="dxa"/>
            <w:tcBorders>
              <w:left w:val="single" w:color="auto" w:sz="4" w:space="0"/>
            </w:tcBorders>
            <w:vAlign w:val="center"/>
          </w:tcPr>
          <w:p>
            <w:pPr>
              <w:spacing w:line="360" w:lineRule="exact"/>
              <w:rPr>
                <w:rFonts w:hint="default" w:ascii="宋体" w:hAnsi="宋体" w:eastAsia="宋体" w:cs="Times New Roman"/>
                <w:kern w:val="0"/>
                <w:sz w:val="21"/>
                <w:szCs w:val="21"/>
                <w:lang w:val="en-US" w:eastAsia="zh-CN" w:bidi="ar-SA"/>
              </w:rPr>
            </w:pPr>
            <w:r>
              <w:rPr>
                <w:rFonts w:hint="eastAsia" w:cs="Times New Roman"/>
                <w:kern w:val="0"/>
                <w:sz w:val="21"/>
                <w:szCs w:val="21"/>
                <w:lang w:val="en-US" w:eastAsia="zh-CN" w:bidi="ar-SA"/>
              </w:rPr>
              <w:t>开标</w:t>
            </w:r>
            <w:r>
              <w:rPr>
                <w:rFonts w:hint="eastAsia" w:ascii="宋体" w:hAnsi="宋体" w:eastAsia="宋体" w:cs="Times New Roman"/>
                <w:kern w:val="0"/>
                <w:sz w:val="21"/>
                <w:szCs w:val="21"/>
                <w:lang w:val="en-US" w:eastAsia="zh-CN" w:bidi="ar-SA"/>
              </w:rPr>
              <w:t>提交的资料</w:t>
            </w:r>
          </w:p>
        </w:tc>
        <w:tc>
          <w:tcPr>
            <w:tcW w:w="7265" w:type="dxa"/>
            <w:vAlign w:val="center"/>
          </w:tcPr>
          <w:p>
            <w:pPr>
              <w:adjustRightInd w:val="0"/>
              <w:snapToGrid w:val="0"/>
              <w:spacing w:line="360" w:lineRule="auto"/>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投标截止时间前要求提交的证书及证明材料如下：</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（1）企业营业执照（副本）；</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（2）企业资质等级证书；</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（3）基本账户开户许可证；</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（4）项目负责人国家注册造价工程师资格证及</w:t>
            </w:r>
            <w:r>
              <w:rPr>
                <w:rFonts w:hint="eastAsia" w:ascii="宋体" w:hAnsi="宋体" w:cs="Times New Roman"/>
                <w:kern w:val="0"/>
                <w:sz w:val="21"/>
                <w:szCs w:val="21"/>
                <w:lang w:val="en-US" w:eastAsia="zh-CN" w:bidi="ar-SA"/>
              </w:rPr>
              <w:t>工程造价</w:t>
            </w:r>
            <w:r>
              <w:rPr>
                <w:rFonts w:hint="eastAsia" w:ascii="宋体" w:hAnsi="宋体" w:eastAsia="宋体" w:cs="Times New Roman"/>
                <w:kern w:val="0"/>
                <w:sz w:val="21"/>
                <w:szCs w:val="21"/>
                <w:lang w:val="en-US" w:eastAsia="zh-CN" w:bidi="ar-SA"/>
              </w:rPr>
              <w:t>专业</w:t>
            </w:r>
            <w:r>
              <w:rPr>
                <w:rFonts w:hint="eastAsia" w:ascii="宋体" w:hAnsi="宋体" w:cs="Times New Roman"/>
                <w:kern w:val="0"/>
                <w:sz w:val="21"/>
                <w:szCs w:val="21"/>
                <w:lang w:val="en-US" w:eastAsia="zh-CN" w:bidi="ar-SA"/>
              </w:rPr>
              <w:t>中</w:t>
            </w:r>
            <w:r>
              <w:rPr>
                <w:rFonts w:hint="eastAsia" w:ascii="宋体" w:hAnsi="宋体" w:eastAsia="宋体" w:cs="Times New Roman"/>
                <w:kern w:val="0"/>
                <w:sz w:val="21"/>
                <w:szCs w:val="21"/>
                <w:lang w:val="en-US" w:eastAsia="zh-CN" w:bidi="ar-SA"/>
              </w:rPr>
              <w:t>级及以上职称；</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（5）专业技术人员证件；</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w:t>
            </w:r>
            <w:r>
              <w:rPr>
                <w:rFonts w:hint="eastAsia" w:ascii="宋体" w:hAnsi="宋体" w:cs="Times New Roman"/>
                <w:kern w:val="0"/>
                <w:sz w:val="21"/>
                <w:szCs w:val="21"/>
                <w:lang w:val="en-US" w:eastAsia="zh-CN" w:bidi="ar-SA"/>
              </w:rPr>
              <w:t>6</w:t>
            </w:r>
            <w:r>
              <w:rPr>
                <w:rFonts w:hint="eastAsia" w:ascii="宋体" w:hAnsi="宋体" w:eastAsia="宋体" w:cs="Times New Roman"/>
                <w:kern w:val="0"/>
                <w:sz w:val="21"/>
                <w:szCs w:val="21"/>
                <w:lang w:val="en-US" w:eastAsia="zh-CN" w:bidi="ar-SA"/>
              </w:rPr>
              <w:t>）拟任本项目人员须提供本单位的的社保证明；</w:t>
            </w:r>
          </w:p>
          <w:p>
            <w:pPr>
              <w:adjustRightInd w:val="0"/>
              <w:snapToGrid w:val="0"/>
              <w:ind w:firstLine="420"/>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w:t>
            </w:r>
            <w:r>
              <w:rPr>
                <w:rFonts w:hint="eastAsia" w:cs="Times New Roman"/>
                <w:kern w:val="0"/>
                <w:sz w:val="21"/>
                <w:szCs w:val="21"/>
                <w:lang w:val="en-US" w:eastAsia="zh-CN" w:bidi="ar-SA"/>
              </w:rPr>
              <w:t>7</w:t>
            </w:r>
            <w:r>
              <w:rPr>
                <w:rFonts w:hint="eastAsia" w:ascii="宋体" w:hAnsi="宋体" w:eastAsia="宋体" w:cs="Times New Roman"/>
                <w:kern w:val="0"/>
                <w:sz w:val="21"/>
                <w:szCs w:val="21"/>
                <w:lang w:val="en-US" w:eastAsia="zh-CN" w:bidi="ar-SA"/>
              </w:rPr>
              <w:t>）投标人业绩证明资料及涉及评标办法的相关资料。</w:t>
            </w:r>
          </w:p>
          <w:p>
            <w:pPr>
              <w:adjustRightInd w:val="0"/>
              <w:snapToGrid w:val="0"/>
              <w:ind w:firstLine="420"/>
              <w:rPr>
                <w:rFonts w:hint="default" w:ascii="宋体" w:hAnsi="宋体" w:eastAsia="宋体" w:cs="Times New Roman"/>
                <w:kern w:val="0"/>
                <w:sz w:val="21"/>
                <w:szCs w:val="21"/>
                <w:lang w:val="en-US" w:eastAsia="zh-CN" w:bidi="ar-SA"/>
              </w:rPr>
            </w:pPr>
          </w:p>
          <w:p>
            <w:pPr>
              <w:pStyle w:val="16"/>
              <w:widowControl w:val="0"/>
              <w:adjustRightInd w:val="0"/>
              <w:snapToGrid w:val="0"/>
              <w:spacing w:before="0" w:beforeAutospacing="0" w:after="0" w:afterAutospacing="0"/>
              <w:ind w:firstLine="422" w:firstLineChars="200"/>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说明：</w:t>
            </w:r>
          </w:p>
          <w:p>
            <w:pPr>
              <w:pStyle w:val="16"/>
              <w:widowControl w:val="0"/>
              <w:adjustRightInd w:val="0"/>
              <w:snapToGrid w:val="0"/>
              <w:spacing w:before="0" w:beforeAutospacing="0" w:after="0" w:afterAutospacing="0" w:line="360" w:lineRule="auto"/>
              <w:ind w:firstLine="422" w:firstLineChars="200"/>
              <w:rPr>
                <w:rFonts w:hint="default" w:ascii="宋体" w:hAnsi="宋体" w:eastAsia="宋体" w:cs="Times New Roman"/>
                <w:kern w:val="0"/>
                <w:sz w:val="21"/>
                <w:szCs w:val="21"/>
                <w:lang w:val="en-US" w:eastAsia="zh-CN" w:bidi="ar-SA"/>
              </w:rPr>
            </w:pPr>
            <w:r>
              <w:rPr>
                <w:rFonts w:hint="eastAsia" w:ascii="宋体" w:hAnsi="宋体" w:eastAsia="宋体" w:cs="Times New Roman"/>
                <w:b/>
                <w:bCs/>
                <w:kern w:val="0"/>
                <w:sz w:val="21"/>
                <w:szCs w:val="21"/>
                <w:lang w:val="en-US" w:eastAsia="zh-CN" w:bidi="ar-SA"/>
              </w:rPr>
              <w:t>（1）以上证件都在有效期内。（防疫期间，不要求投标单位提交相关资质证件的原件）。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39" w:type="dxa"/>
            <w:tcBorders>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21</w:t>
            </w:r>
          </w:p>
        </w:tc>
        <w:tc>
          <w:tcPr>
            <w:tcW w:w="2005" w:type="dxa"/>
            <w:tcBorders>
              <w:left w:val="single" w:color="auto" w:sz="4" w:space="0"/>
            </w:tcBorders>
            <w:vAlign w:val="center"/>
          </w:tcPr>
          <w:p>
            <w:pPr>
              <w:adjustRightInd w:val="0"/>
              <w:snapToGrid w:val="0"/>
              <w:rPr>
                <w:rFonts w:hint="default"/>
                <w:kern w:val="0"/>
                <w:sz w:val="21"/>
                <w:szCs w:val="21"/>
              </w:rPr>
            </w:pPr>
            <w:r>
              <w:rPr>
                <w:kern w:val="0"/>
                <w:sz w:val="21"/>
                <w:szCs w:val="21"/>
              </w:rPr>
              <w:t>投标有效期</w:t>
            </w:r>
          </w:p>
        </w:tc>
        <w:tc>
          <w:tcPr>
            <w:tcW w:w="7265" w:type="dxa"/>
            <w:vAlign w:val="center"/>
          </w:tcPr>
          <w:p>
            <w:pPr>
              <w:adjustRightInd w:val="0"/>
              <w:snapToGrid w:val="0"/>
              <w:rPr>
                <w:rFonts w:hint="default"/>
                <w:kern w:val="0"/>
                <w:sz w:val="21"/>
                <w:szCs w:val="21"/>
              </w:rPr>
            </w:pPr>
            <w:r>
              <w:rPr>
                <w:kern w:val="0"/>
                <w:sz w:val="21"/>
                <w:szCs w:val="21"/>
              </w:rPr>
              <w:t>投标截止日起90日历天内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39" w:type="dxa"/>
            <w:tcBorders>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22</w:t>
            </w:r>
          </w:p>
        </w:tc>
        <w:tc>
          <w:tcPr>
            <w:tcW w:w="2005" w:type="dxa"/>
            <w:tcBorders>
              <w:left w:val="single" w:color="auto" w:sz="4" w:space="0"/>
            </w:tcBorders>
            <w:vAlign w:val="center"/>
          </w:tcPr>
          <w:p>
            <w:pPr>
              <w:adjustRightInd w:val="0"/>
              <w:snapToGrid w:val="0"/>
              <w:rPr>
                <w:rFonts w:hint="default"/>
                <w:kern w:val="0"/>
                <w:sz w:val="21"/>
                <w:szCs w:val="21"/>
              </w:rPr>
            </w:pPr>
            <w:r>
              <w:rPr>
                <w:kern w:val="0"/>
                <w:sz w:val="21"/>
                <w:szCs w:val="21"/>
              </w:rPr>
              <w:t>投标保证金</w:t>
            </w:r>
          </w:p>
        </w:tc>
        <w:tc>
          <w:tcPr>
            <w:tcW w:w="7265" w:type="dxa"/>
            <w:vAlign w:val="center"/>
          </w:tcPr>
          <w:p>
            <w:pPr>
              <w:adjustRightInd w:val="0"/>
              <w:snapToGrid w:val="0"/>
              <w:rPr>
                <w:rFonts w:hint="eastAsia" w:eastAsia="宋体"/>
                <w:sz w:val="21"/>
                <w:szCs w:val="21"/>
                <w:lang w:eastAsia="zh-CN"/>
              </w:rPr>
            </w:pPr>
            <w:r>
              <w:rPr>
                <w:rFonts w:hint="eastAsia"/>
                <w:sz w:val="21"/>
                <w:szCs w:val="21"/>
                <w:lang w:eastAsia="zh-CN"/>
              </w:rPr>
              <w:t>不要求提供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spacing w:line="360" w:lineRule="exact"/>
              <w:jc w:val="center"/>
              <w:rPr>
                <w:rFonts w:hint="default" w:eastAsia="宋体"/>
                <w:kern w:val="0"/>
                <w:sz w:val="21"/>
                <w:szCs w:val="21"/>
                <w:lang w:val="en-US" w:eastAsia="zh-CN"/>
              </w:rPr>
            </w:pPr>
            <w:r>
              <w:rPr>
                <w:rFonts w:hint="eastAsia"/>
                <w:kern w:val="0"/>
                <w:sz w:val="21"/>
                <w:szCs w:val="21"/>
                <w:lang w:val="en-US" w:eastAsia="zh-CN"/>
              </w:rPr>
              <w:t>23</w:t>
            </w:r>
          </w:p>
        </w:tc>
        <w:tc>
          <w:tcPr>
            <w:tcW w:w="2005" w:type="dxa"/>
            <w:tcBorders>
              <w:left w:val="single" w:color="auto" w:sz="4" w:space="0"/>
            </w:tcBorders>
            <w:vAlign w:val="center"/>
          </w:tcPr>
          <w:p>
            <w:pPr>
              <w:jc w:val="both"/>
              <w:rPr>
                <w:rFonts w:hint="eastAsia" w:eastAsia="宋体"/>
                <w:kern w:val="0"/>
                <w:sz w:val="21"/>
                <w:szCs w:val="21"/>
                <w:lang w:eastAsia="zh-CN"/>
              </w:rPr>
            </w:pPr>
            <w:r>
              <w:rPr>
                <w:kern w:val="0"/>
                <w:sz w:val="21"/>
                <w:szCs w:val="21"/>
              </w:rPr>
              <w:t>近年财务状况的要</w:t>
            </w:r>
            <w:r>
              <w:rPr>
                <w:rFonts w:hint="eastAsia"/>
                <w:kern w:val="0"/>
                <w:sz w:val="21"/>
                <w:szCs w:val="21"/>
                <w:lang w:eastAsia="zh-CN"/>
              </w:rPr>
              <w:t>求</w:t>
            </w:r>
          </w:p>
        </w:tc>
        <w:tc>
          <w:tcPr>
            <w:tcW w:w="7265" w:type="dxa"/>
          </w:tcPr>
          <w:p>
            <w:pPr>
              <w:rPr>
                <w:rFonts w:hint="default"/>
                <w:kern w:val="0"/>
                <w:sz w:val="21"/>
                <w:szCs w:val="21"/>
              </w:rPr>
            </w:pPr>
            <w:r>
              <w:rPr>
                <w:rFonts w:hint="default"/>
                <w:kern w:val="0"/>
                <w:sz w:val="21"/>
                <w:szCs w:val="21"/>
              </w:rPr>
              <w:t xml:space="preserve">提供经第三方审计后的 </w:t>
            </w:r>
            <w:r>
              <w:rPr>
                <w:rFonts w:hint="eastAsia"/>
                <w:kern w:val="0"/>
                <w:sz w:val="21"/>
                <w:szCs w:val="21"/>
                <w:lang w:val="en-US" w:eastAsia="zh-CN"/>
              </w:rPr>
              <w:t>2020</w:t>
            </w:r>
            <w:r>
              <w:rPr>
                <w:rFonts w:hint="default"/>
                <w:kern w:val="0"/>
                <w:sz w:val="21"/>
                <w:szCs w:val="21"/>
              </w:rPr>
              <w:t>年度的财务审计报告（包括资产负债表、</w:t>
            </w:r>
          </w:p>
          <w:p>
            <w:pPr>
              <w:rPr>
                <w:rFonts w:hint="default"/>
                <w:kern w:val="0"/>
                <w:sz w:val="21"/>
                <w:szCs w:val="21"/>
              </w:rPr>
            </w:pPr>
            <w:r>
              <w:rPr>
                <w:rFonts w:hint="default"/>
                <w:kern w:val="0"/>
                <w:sz w:val="21"/>
                <w:szCs w:val="21"/>
              </w:rPr>
              <w:t>利润表、现金流量表），或成立不足一年的单位提供银行资信证明。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739" w:type="dxa"/>
            <w:tcBorders>
              <w:right w:val="single" w:color="auto" w:sz="4" w:space="0"/>
            </w:tcBorders>
            <w:vAlign w:val="center"/>
          </w:tcPr>
          <w:p>
            <w:pPr>
              <w:spacing w:line="360" w:lineRule="exact"/>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4</w:t>
            </w:r>
          </w:p>
        </w:tc>
        <w:tc>
          <w:tcPr>
            <w:tcW w:w="2005" w:type="dxa"/>
            <w:tcBorders>
              <w:left w:val="single" w:color="auto" w:sz="4" w:space="0"/>
            </w:tcBorders>
            <w:vAlign w:val="center"/>
          </w:tcPr>
          <w:p>
            <w:pPr>
              <w:rPr>
                <w:rFonts w:hint="default"/>
                <w:kern w:val="0"/>
                <w:sz w:val="21"/>
                <w:szCs w:val="21"/>
              </w:rPr>
            </w:pPr>
            <w:r>
              <w:rPr>
                <w:kern w:val="0"/>
                <w:sz w:val="21"/>
                <w:szCs w:val="21"/>
              </w:rPr>
              <w:t>完成的类似项目的年份要求</w:t>
            </w:r>
          </w:p>
        </w:tc>
        <w:tc>
          <w:tcPr>
            <w:tcW w:w="7265" w:type="dxa"/>
            <w:vAlign w:val="center"/>
          </w:tcPr>
          <w:p>
            <w:pPr>
              <w:rPr>
                <w:rFonts w:hint="default" w:cs="宋体"/>
                <w:sz w:val="21"/>
                <w:szCs w:val="21"/>
              </w:rPr>
            </w:pPr>
            <w:r>
              <w:rPr>
                <w:rFonts w:hint="default" w:cs="宋体"/>
                <w:sz w:val="21"/>
                <w:szCs w:val="21"/>
              </w:rPr>
              <w:t>详见评标办法要求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spacing w:line="360" w:lineRule="exact"/>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5</w:t>
            </w:r>
          </w:p>
        </w:tc>
        <w:tc>
          <w:tcPr>
            <w:tcW w:w="2005" w:type="dxa"/>
            <w:tcBorders>
              <w:left w:val="single" w:color="auto" w:sz="4" w:space="0"/>
            </w:tcBorders>
            <w:vAlign w:val="center"/>
          </w:tcPr>
          <w:p>
            <w:pPr>
              <w:spacing w:line="360" w:lineRule="exact"/>
              <w:rPr>
                <w:rFonts w:hint="default"/>
                <w:kern w:val="0"/>
                <w:sz w:val="21"/>
                <w:szCs w:val="21"/>
              </w:rPr>
            </w:pPr>
            <w:r>
              <w:rPr>
                <w:kern w:val="0"/>
                <w:sz w:val="21"/>
                <w:szCs w:val="21"/>
              </w:rPr>
              <w:t>是否允许递交备选投标人案</w:t>
            </w:r>
          </w:p>
        </w:tc>
        <w:tc>
          <w:tcPr>
            <w:tcW w:w="7265" w:type="dxa"/>
            <w:vAlign w:val="center"/>
          </w:tcPr>
          <w:p>
            <w:pPr>
              <w:spacing w:line="360" w:lineRule="exact"/>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6</w:t>
            </w:r>
          </w:p>
        </w:tc>
        <w:tc>
          <w:tcPr>
            <w:tcW w:w="2005" w:type="dxa"/>
            <w:tcBorders>
              <w:left w:val="single" w:color="auto" w:sz="4" w:space="0"/>
            </w:tcBorders>
            <w:vAlign w:val="center"/>
          </w:tcPr>
          <w:p>
            <w:pPr>
              <w:rPr>
                <w:rFonts w:hint="default"/>
                <w:sz w:val="21"/>
                <w:szCs w:val="21"/>
              </w:rPr>
            </w:pPr>
            <w:r>
              <w:rPr>
                <w:sz w:val="21"/>
                <w:szCs w:val="21"/>
              </w:rPr>
              <w:t>签字或盖章要求</w:t>
            </w:r>
          </w:p>
        </w:tc>
        <w:tc>
          <w:tcPr>
            <w:tcW w:w="7265" w:type="dxa"/>
          </w:tcPr>
          <w:p>
            <w:pPr>
              <w:rPr>
                <w:rFonts w:hint="default"/>
                <w:sz w:val="21"/>
                <w:szCs w:val="21"/>
              </w:rPr>
            </w:pPr>
            <w:r>
              <w:rPr>
                <w:sz w:val="21"/>
                <w:szCs w:val="21"/>
              </w:rPr>
              <w:t>（1）投标文件正本签章按本招标文件的规定，证明材料加盖单位公章。</w:t>
            </w:r>
          </w:p>
          <w:p>
            <w:pPr>
              <w:rPr>
                <w:rFonts w:hint="default"/>
                <w:sz w:val="21"/>
                <w:szCs w:val="21"/>
              </w:rPr>
            </w:pPr>
            <w:r>
              <w:rPr>
                <w:sz w:val="21"/>
                <w:szCs w:val="21"/>
              </w:rPr>
              <w:t>（2）投标文件封面、投标函、开标一览表等关键处必须同时由投标人的法定代表人或委托代理人签字（或盖章）和加盖单位公章。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27</w:t>
            </w:r>
          </w:p>
        </w:tc>
        <w:tc>
          <w:tcPr>
            <w:tcW w:w="2005" w:type="dxa"/>
            <w:tcBorders>
              <w:left w:val="single" w:color="auto" w:sz="4" w:space="0"/>
            </w:tcBorders>
            <w:vAlign w:val="center"/>
          </w:tcPr>
          <w:p>
            <w:pPr>
              <w:rPr>
                <w:rFonts w:hint="default"/>
                <w:kern w:val="0"/>
                <w:sz w:val="21"/>
                <w:szCs w:val="21"/>
              </w:rPr>
            </w:pPr>
            <w:r>
              <w:rPr>
                <w:kern w:val="0"/>
                <w:sz w:val="21"/>
                <w:szCs w:val="21"/>
              </w:rPr>
              <w:t>投标文件份数</w:t>
            </w:r>
          </w:p>
        </w:tc>
        <w:tc>
          <w:tcPr>
            <w:tcW w:w="7265" w:type="dxa"/>
            <w:vAlign w:val="center"/>
          </w:tcPr>
          <w:p>
            <w:pPr>
              <w:rPr>
                <w:sz w:val="21"/>
                <w:szCs w:val="21"/>
              </w:rPr>
            </w:pPr>
            <w:r>
              <w:rPr>
                <w:sz w:val="21"/>
                <w:szCs w:val="21"/>
              </w:rPr>
              <w:t>开标时，投标人须提供投标文件一式肆份，正本壹份，副本叁份（副本可为正本的复印件）。</w:t>
            </w:r>
          </w:p>
          <w:p>
            <w:pPr>
              <w:pStyle w:val="6"/>
              <w:rPr>
                <w:rFonts w:hint="default"/>
              </w:rPr>
            </w:pPr>
            <w:r>
              <w:rPr>
                <w:rFonts w:hint="eastAsia" w:ascii="宋体" w:hAnsi="宋体" w:eastAsia="宋体" w:cs="Times New Roman"/>
                <w:kern w:val="0"/>
                <w:sz w:val="21"/>
                <w:szCs w:val="21"/>
                <w:lang w:val="en-US" w:eastAsia="zh-CN" w:bidi="ar-SA"/>
              </w:rPr>
              <w:t>注：中标单位需在中标后提供投标文件电子版一份，电子版应为签字盖章后的投标文件正本扫描件（U盘，PDF格式）。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28</w:t>
            </w:r>
          </w:p>
        </w:tc>
        <w:tc>
          <w:tcPr>
            <w:tcW w:w="2005" w:type="dxa"/>
            <w:tcBorders>
              <w:left w:val="single" w:color="auto" w:sz="4" w:space="0"/>
            </w:tcBorders>
            <w:vAlign w:val="center"/>
          </w:tcPr>
          <w:p>
            <w:pPr>
              <w:rPr>
                <w:rFonts w:hint="default"/>
                <w:kern w:val="0"/>
                <w:sz w:val="21"/>
                <w:szCs w:val="21"/>
              </w:rPr>
            </w:pPr>
            <w:r>
              <w:rPr>
                <w:kern w:val="0"/>
                <w:sz w:val="21"/>
                <w:szCs w:val="21"/>
              </w:rPr>
              <w:t>装订要求</w:t>
            </w:r>
          </w:p>
        </w:tc>
        <w:tc>
          <w:tcPr>
            <w:tcW w:w="7265" w:type="dxa"/>
            <w:vAlign w:val="center"/>
          </w:tcPr>
          <w:p>
            <w:pPr>
              <w:rPr>
                <w:rFonts w:hint="default"/>
                <w:kern w:val="0"/>
                <w:sz w:val="21"/>
                <w:szCs w:val="21"/>
              </w:rPr>
            </w:pPr>
            <w:r>
              <w:rPr>
                <w:rFonts w:hint="eastAsia"/>
                <w:kern w:val="0"/>
                <w:sz w:val="21"/>
                <w:szCs w:val="21"/>
              </w:rPr>
              <w:t>投标文件合成一本装订（胶装）密封于一个封套中，封口处加贴封条并加盖投标单位公章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29</w:t>
            </w:r>
          </w:p>
        </w:tc>
        <w:tc>
          <w:tcPr>
            <w:tcW w:w="2005" w:type="dxa"/>
            <w:tcBorders>
              <w:left w:val="single" w:color="auto" w:sz="4" w:space="0"/>
            </w:tcBorders>
            <w:vAlign w:val="center"/>
          </w:tcPr>
          <w:p>
            <w:pPr>
              <w:rPr>
                <w:rFonts w:hint="default"/>
                <w:kern w:val="0"/>
                <w:sz w:val="21"/>
                <w:szCs w:val="21"/>
              </w:rPr>
            </w:pPr>
            <w:r>
              <w:rPr>
                <w:sz w:val="21"/>
                <w:szCs w:val="21"/>
              </w:rPr>
              <w:t>封套上</w:t>
            </w:r>
            <w:r>
              <w:rPr>
                <w:kern w:val="0"/>
                <w:sz w:val="21"/>
                <w:szCs w:val="21"/>
              </w:rPr>
              <w:t>至少写明</w:t>
            </w:r>
          </w:p>
        </w:tc>
        <w:tc>
          <w:tcPr>
            <w:tcW w:w="7265" w:type="dxa"/>
            <w:vAlign w:val="center"/>
          </w:tcPr>
          <w:p>
            <w:pPr>
              <w:rPr>
                <w:rFonts w:hint="default"/>
                <w:kern w:val="0"/>
                <w:sz w:val="21"/>
                <w:szCs w:val="21"/>
              </w:rPr>
            </w:pPr>
            <w:r>
              <w:rPr>
                <w:sz w:val="21"/>
                <w:szCs w:val="21"/>
              </w:rPr>
              <w:t>投标文件的密封套上应注明招标人、招标项目名称、投标人名称等内容及“在</w:t>
            </w:r>
            <w:r>
              <w:rPr>
                <w:rFonts w:hint="eastAsia"/>
                <w:sz w:val="21"/>
                <w:szCs w:val="21"/>
                <w:lang w:eastAsia="zh-CN"/>
              </w:rPr>
              <w:t>2022</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r>
              <w:rPr>
                <w:rFonts w:hint="default"/>
                <w:sz w:val="21"/>
                <w:szCs w:val="21"/>
              </w:rPr>
              <w:t>9</w:t>
            </w:r>
            <w:r>
              <w:rPr>
                <w:rFonts w:hint="eastAsia"/>
                <w:sz w:val="21"/>
                <w:szCs w:val="21"/>
                <w:lang w:eastAsia="zh-CN"/>
              </w:rPr>
              <w:t>：</w:t>
            </w:r>
            <w:r>
              <w:rPr>
                <w:rFonts w:hint="eastAsia"/>
                <w:sz w:val="21"/>
                <w:szCs w:val="21"/>
                <w:lang w:val="en-US" w:eastAsia="zh-CN"/>
              </w:rPr>
              <w:t>30</w:t>
            </w:r>
            <w:r>
              <w:rPr>
                <w:sz w:val="21"/>
                <w:szCs w:val="21"/>
              </w:rPr>
              <w:t>（即投标截止时间）前不得开封”的字样。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30</w:t>
            </w:r>
          </w:p>
        </w:tc>
        <w:tc>
          <w:tcPr>
            <w:tcW w:w="2005" w:type="dxa"/>
            <w:tcBorders>
              <w:left w:val="single" w:color="auto" w:sz="4" w:space="0"/>
            </w:tcBorders>
            <w:vAlign w:val="center"/>
          </w:tcPr>
          <w:p>
            <w:pPr>
              <w:rPr>
                <w:rFonts w:hint="default"/>
                <w:sz w:val="21"/>
                <w:szCs w:val="21"/>
              </w:rPr>
            </w:pPr>
            <w:r>
              <w:rPr>
                <w:rFonts w:cs="宋体"/>
                <w:kern w:val="0"/>
                <w:sz w:val="21"/>
                <w:szCs w:val="21"/>
              </w:rPr>
              <w:t>递交投标文件地点</w:t>
            </w:r>
          </w:p>
        </w:tc>
        <w:tc>
          <w:tcPr>
            <w:tcW w:w="7265" w:type="dxa"/>
            <w:vAlign w:val="center"/>
          </w:tcPr>
          <w:p>
            <w:pPr>
              <w:jc w:val="left"/>
              <w:rPr>
                <w:rFonts w:hint="default"/>
                <w:sz w:val="21"/>
                <w:szCs w:val="21"/>
              </w:rPr>
            </w:pPr>
            <w:r>
              <w:rPr>
                <w:kern w:val="0"/>
                <w:sz w:val="21"/>
                <w:szCs w:val="21"/>
              </w:rPr>
              <w:t>递交地点：</w:t>
            </w:r>
            <w:r>
              <w:rPr>
                <w:rFonts w:hint="eastAsia"/>
                <w:sz w:val="21"/>
                <w:szCs w:val="21"/>
                <w:lang w:eastAsia="zh-CN"/>
              </w:rPr>
              <w:t>浏阳市人民医院</w:t>
            </w:r>
          </w:p>
          <w:p>
            <w:pPr>
              <w:rPr>
                <w:rFonts w:hint="default"/>
                <w:kern w:val="0"/>
                <w:sz w:val="21"/>
                <w:szCs w:val="21"/>
              </w:rPr>
            </w:pPr>
            <w:r>
              <w:rPr>
                <w:sz w:val="21"/>
                <w:szCs w:val="21"/>
              </w:rPr>
              <w:t>递交方式：当面递交，不接受邮寄。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31</w:t>
            </w:r>
          </w:p>
        </w:tc>
        <w:tc>
          <w:tcPr>
            <w:tcW w:w="2005" w:type="dxa"/>
            <w:tcBorders>
              <w:left w:val="single" w:color="auto" w:sz="4" w:space="0"/>
            </w:tcBorders>
            <w:vAlign w:val="center"/>
          </w:tcPr>
          <w:p>
            <w:pPr>
              <w:rPr>
                <w:rFonts w:hint="default"/>
                <w:kern w:val="0"/>
                <w:sz w:val="21"/>
                <w:szCs w:val="21"/>
              </w:rPr>
            </w:pPr>
            <w:r>
              <w:rPr>
                <w:kern w:val="0"/>
                <w:sz w:val="21"/>
                <w:szCs w:val="21"/>
              </w:rPr>
              <w:t>是否退还投标文件</w:t>
            </w:r>
          </w:p>
        </w:tc>
        <w:tc>
          <w:tcPr>
            <w:tcW w:w="7265" w:type="dxa"/>
            <w:vAlign w:val="center"/>
          </w:tcPr>
          <w:p>
            <w:pPr>
              <w:rPr>
                <w:rFonts w:hint="default"/>
                <w:kern w:val="0"/>
                <w:sz w:val="21"/>
                <w:szCs w:val="21"/>
              </w:rPr>
            </w:pPr>
            <w:r>
              <w:rPr>
                <w:kern w:val="0"/>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32</w:t>
            </w:r>
          </w:p>
        </w:tc>
        <w:tc>
          <w:tcPr>
            <w:tcW w:w="2005" w:type="dxa"/>
            <w:tcBorders>
              <w:left w:val="single" w:color="auto" w:sz="4" w:space="0"/>
            </w:tcBorders>
            <w:vAlign w:val="center"/>
          </w:tcPr>
          <w:p>
            <w:pPr>
              <w:rPr>
                <w:rFonts w:hint="default"/>
                <w:kern w:val="0"/>
                <w:sz w:val="21"/>
                <w:szCs w:val="21"/>
              </w:rPr>
            </w:pPr>
            <w:r>
              <w:rPr>
                <w:kern w:val="0"/>
                <w:sz w:val="21"/>
                <w:szCs w:val="21"/>
              </w:rPr>
              <w:t>开标时间和地点</w:t>
            </w:r>
          </w:p>
        </w:tc>
        <w:tc>
          <w:tcPr>
            <w:tcW w:w="7265" w:type="dxa"/>
            <w:vAlign w:val="center"/>
          </w:tcPr>
          <w:p>
            <w:pPr>
              <w:jc w:val="left"/>
              <w:rPr>
                <w:rFonts w:hint="default"/>
                <w:sz w:val="21"/>
                <w:szCs w:val="21"/>
              </w:rPr>
            </w:pPr>
            <w:r>
              <w:rPr>
                <w:sz w:val="21"/>
                <w:szCs w:val="21"/>
              </w:rPr>
              <w:t>开标时间：同投标截止时间</w:t>
            </w:r>
          </w:p>
          <w:p>
            <w:pPr>
              <w:rPr>
                <w:rFonts w:hint="default"/>
                <w:kern w:val="0"/>
                <w:sz w:val="21"/>
                <w:szCs w:val="21"/>
              </w:rPr>
            </w:pPr>
            <w:r>
              <w:rPr>
                <w:sz w:val="21"/>
                <w:szCs w:val="21"/>
              </w:rPr>
              <w:t>开标地点：同投标文件递交地点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33</w:t>
            </w:r>
          </w:p>
        </w:tc>
        <w:tc>
          <w:tcPr>
            <w:tcW w:w="2005" w:type="dxa"/>
            <w:tcBorders>
              <w:left w:val="single" w:color="auto" w:sz="4" w:space="0"/>
            </w:tcBorders>
            <w:vAlign w:val="center"/>
          </w:tcPr>
          <w:p>
            <w:pPr>
              <w:rPr>
                <w:rFonts w:hint="default"/>
                <w:kern w:val="0"/>
                <w:sz w:val="21"/>
                <w:szCs w:val="21"/>
              </w:rPr>
            </w:pPr>
            <w:r>
              <w:rPr>
                <w:kern w:val="0"/>
                <w:sz w:val="21"/>
                <w:szCs w:val="21"/>
              </w:rPr>
              <w:t>评标委员会的组建</w:t>
            </w:r>
          </w:p>
        </w:tc>
        <w:tc>
          <w:tcPr>
            <w:tcW w:w="7265" w:type="dxa"/>
            <w:vAlign w:val="center"/>
          </w:tcPr>
          <w:p>
            <w:pPr>
              <w:rPr>
                <w:rFonts w:hint="default"/>
                <w:sz w:val="21"/>
                <w:szCs w:val="21"/>
              </w:rPr>
            </w:pPr>
            <w:r>
              <w:rPr>
                <w:sz w:val="21"/>
                <w:szCs w:val="21"/>
              </w:rPr>
              <w:t>评标委员会组成：评标委员会由专家组成人数</w:t>
            </w:r>
            <w:r>
              <w:rPr>
                <w:rFonts w:hint="eastAsia"/>
                <w:sz w:val="21"/>
                <w:szCs w:val="21"/>
                <w:lang w:val="en-US" w:eastAsia="zh-CN"/>
              </w:rPr>
              <w:t>5</w:t>
            </w:r>
            <w:r>
              <w:rPr>
                <w:sz w:val="21"/>
                <w:szCs w:val="21"/>
              </w:rPr>
              <w:t>人。</w:t>
            </w:r>
          </w:p>
          <w:p>
            <w:pPr>
              <w:rPr>
                <w:rFonts w:hint="default"/>
                <w:kern w:val="0"/>
                <w:sz w:val="21"/>
                <w:szCs w:val="21"/>
              </w:rPr>
            </w:pPr>
            <w:r>
              <w:rPr>
                <w:sz w:val="21"/>
                <w:szCs w:val="21"/>
              </w:rPr>
              <w:t>评标专家确定方式：</w:t>
            </w:r>
            <w:r>
              <w:rPr>
                <w:rFonts w:hint="eastAsia"/>
                <w:sz w:val="21"/>
                <w:szCs w:val="21"/>
              </w:rPr>
              <w:t>在本地评标库内随机抽取</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34</w:t>
            </w:r>
          </w:p>
        </w:tc>
        <w:tc>
          <w:tcPr>
            <w:tcW w:w="2005" w:type="dxa"/>
            <w:tcBorders>
              <w:left w:val="single" w:color="auto" w:sz="4" w:space="0"/>
            </w:tcBorders>
            <w:vAlign w:val="center"/>
          </w:tcPr>
          <w:p>
            <w:pPr>
              <w:rPr>
                <w:rFonts w:hint="default"/>
                <w:kern w:val="0"/>
                <w:sz w:val="21"/>
                <w:szCs w:val="21"/>
                <w:highlight w:val="yellow"/>
              </w:rPr>
            </w:pPr>
            <w:r>
              <w:rPr>
                <w:kern w:val="0"/>
                <w:sz w:val="21"/>
                <w:szCs w:val="21"/>
              </w:rPr>
              <w:t>是否授权评标委员会确定中标人</w:t>
            </w:r>
          </w:p>
        </w:tc>
        <w:tc>
          <w:tcPr>
            <w:tcW w:w="7265" w:type="dxa"/>
            <w:vAlign w:val="center"/>
          </w:tcPr>
          <w:p>
            <w:pPr>
              <w:rPr>
                <w:rFonts w:hint="default"/>
                <w:kern w:val="0"/>
                <w:sz w:val="21"/>
                <w:szCs w:val="21"/>
                <w:highlight w:val="yellow"/>
              </w:rPr>
            </w:pPr>
            <w:r>
              <w:rPr>
                <w:kern w:val="0"/>
                <w:sz w:val="21"/>
                <w:szCs w:val="21"/>
              </w:rPr>
              <w:t>否，推荐的中标候</w:t>
            </w:r>
            <w:r>
              <w:rPr>
                <w:color w:val="FF0000"/>
                <w:kern w:val="0"/>
                <w:sz w:val="21"/>
                <w:szCs w:val="21"/>
              </w:rPr>
              <w:t>选人数：</w:t>
            </w:r>
            <w:r>
              <w:rPr>
                <w:rFonts w:hint="default"/>
                <w:color w:val="FF0000"/>
                <w:kern w:val="0"/>
                <w:sz w:val="21"/>
                <w:szCs w:val="21"/>
              </w:rPr>
              <w:t xml:space="preserve"> </w:t>
            </w:r>
            <w:r>
              <w:rPr>
                <w:rFonts w:hint="eastAsia"/>
                <w:color w:val="FF0000"/>
                <w:kern w:val="0"/>
                <w:sz w:val="21"/>
                <w:szCs w:val="21"/>
                <w:lang w:val="en-US" w:eastAsia="zh-CN"/>
              </w:rPr>
              <w:t>每标段一</w:t>
            </w:r>
            <w:r>
              <w:rPr>
                <w:rFonts w:hint="default"/>
                <w:color w:val="FF0000"/>
                <w:kern w:val="0"/>
                <w:sz w:val="21"/>
                <w:szCs w:val="21"/>
              </w:rPr>
              <w:t>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sz w:val="21"/>
                <w:szCs w:val="21"/>
              </w:rPr>
              <w:t>3</w:t>
            </w:r>
            <w:r>
              <w:rPr>
                <w:rFonts w:hint="eastAsia"/>
                <w:sz w:val="21"/>
                <w:szCs w:val="21"/>
                <w:lang w:val="en-US" w:eastAsia="zh-CN"/>
              </w:rPr>
              <w:t>5</w:t>
            </w:r>
          </w:p>
        </w:tc>
        <w:tc>
          <w:tcPr>
            <w:tcW w:w="2005" w:type="dxa"/>
            <w:tcBorders>
              <w:left w:val="single" w:color="auto" w:sz="4" w:space="0"/>
            </w:tcBorders>
            <w:vAlign w:val="center"/>
          </w:tcPr>
          <w:p>
            <w:pPr>
              <w:rPr>
                <w:rFonts w:hint="default"/>
                <w:sz w:val="21"/>
                <w:szCs w:val="21"/>
              </w:rPr>
            </w:pPr>
            <w:r>
              <w:rPr>
                <w:sz w:val="21"/>
                <w:szCs w:val="21"/>
              </w:rPr>
              <w:t>其他</w:t>
            </w:r>
          </w:p>
        </w:tc>
        <w:tc>
          <w:tcPr>
            <w:tcW w:w="7265" w:type="dxa"/>
            <w:vAlign w:val="center"/>
          </w:tcPr>
          <w:p>
            <w:pPr>
              <w:rPr>
                <w:rFonts w:hint="default"/>
                <w:sz w:val="21"/>
                <w:szCs w:val="21"/>
              </w:rPr>
            </w:pPr>
            <w:r>
              <w:rPr>
                <w:sz w:val="21"/>
                <w:szCs w:val="21"/>
              </w:rPr>
              <w:t>（1）投标人在投标文件中有隐瞒事实、弄虚作假的行为，或有不按招标文件的要求如实提供有关情况、文件、证明等资料的行为，或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rPr>
                <w:rFonts w:hint="default"/>
                <w:sz w:val="21"/>
                <w:szCs w:val="21"/>
              </w:rPr>
            </w:pPr>
            <w:r>
              <w:rPr>
                <w:sz w:val="21"/>
                <w:szCs w:val="21"/>
              </w:rPr>
              <w:t>（2）中标通知书发出以前，中标候选人及其拟任项目负责人的情况发生变化，致使其达不到合格投标人资格条件的，按照不合格投标人处理。</w:t>
            </w:r>
          </w:p>
          <w:p>
            <w:pPr>
              <w:rPr>
                <w:rFonts w:hint="default"/>
                <w:sz w:val="21"/>
                <w:szCs w:val="21"/>
              </w:rPr>
            </w:pPr>
            <w:r>
              <w:rPr>
                <w:sz w:val="21"/>
                <w:szCs w:val="21"/>
              </w:rPr>
              <w:t>（3）招标文件中所设置的内容、条款及未尽事宜，均以国家、省市或建设行政主管部门颁发的招投标有关规定为准。</w:t>
            </w:r>
          </w:p>
          <w:p>
            <w:pPr>
              <w:rPr>
                <w:rFonts w:hint="default"/>
                <w:sz w:val="21"/>
                <w:szCs w:val="21"/>
              </w:rPr>
            </w:pPr>
            <w:r>
              <w:rPr>
                <w:sz w:val="21"/>
                <w:szCs w:val="21"/>
              </w:rPr>
              <w:t>（4）选择以不署名的形式向招标单位提出质疑的不能作为今后有效投诉的依据；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39" w:type="dxa"/>
            <w:tcBorders>
              <w:right w:val="single" w:color="auto" w:sz="4" w:space="0"/>
            </w:tcBorders>
            <w:vAlign w:val="center"/>
          </w:tcPr>
          <w:p>
            <w:pPr>
              <w:jc w:val="center"/>
              <w:rPr>
                <w:rFonts w:hint="default" w:eastAsia="宋体"/>
                <w:sz w:val="21"/>
                <w:szCs w:val="21"/>
                <w:lang w:val="en-US" w:eastAsia="zh-CN"/>
              </w:rPr>
            </w:pPr>
            <w:r>
              <w:rPr>
                <w:rFonts w:hint="eastAsia"/>
                <w:kern w:val="0"/>
                <w:sz w:val="21"/>
                <w:szCs w:val="21"/>
                <w:lang w:val="en-US" w:eastAsia="zh-CN"/>
              </w:rPr>
              <w:t>36</w:t>
            </w:r>
          </w:p>
        </w:tc>
        <w:tc>
          <w:tcPr>
            <w:tcW w:w="2005" w:type="dxa"/>
            <w:tcBorders>
              <w:left w:val="single" w:color="auto" w:sz="4" w:space="0"/>
            </w:tcBorders>
            <w:vAlign w:val="center"/>
          </w:tcPr>
          <w:p>
            <w:pPr>
              <w:rPr>
                <w:rFonts w:hint="default"/>
                <w:sz w:val="21"/>
                <w:szCs w:val="21"/>
              </w:rPr>
            </w:pPr>
            <w:r>
              <w:rPr>
                <w:sz w:val="21"/>
                <w:szCs w:val="21"/>
              </w:rPr>
              <w:t>评标办法</w:t>
            </w:r>
          </w:p>
        </w:tc>
        <w:tc>
          <w:tcPr>
            <w:tcW w:w="7265" w:type="dxa"/>
            <w:vAlign w:val="center"/>
          </w:tcPr>
          <w:p>
            <w:pPr>
              <w:rPr>
                <w:rFonts w:hint="default"/>
                <w:sz w:val="21"/>
                <w:szCs w:val="21"/>
              </w:rPr>
            </w:pPr>
            <w:r>
              <w:rPr>
                <w:sz w:val="21"/>
                <w:szCs w:val="21"/>
              </w:rPr>
              <w:t>综合评估法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37</w:t>
            </w:r>
          </w:p>
        </w:tc>
        <w:tc>
          <w:tcPr>
            <w:tcW w:w="2005" w:type="dxa"/>
            <w:tcBorders>
              <w:left w:val="single" w:color="auto" w:sz="4" w:space="0"/>
            </w:tcBorders>
            <w:vAlign w:val="center"/>
          </w:tcPr>
          <w:p>
            <w:pPr>
              <w:rPr>
                <w:rFonts w:hint="default"/>
                <w:sz w:val="21"/>
                <w:szCs w:val="21"/>
              </w:rPr>
            </w:pPr>
            <w:r>
              <w:rPr>
                <w:sz w:val="21"/>
                <w:szCs w:val="21"/>
              </w:rPr>
              <w:t>开标会议到场人员说明</w:t>
            </w:r>
          </w:p>
        </w:tc>
        <w:tc>
          <w:tcPr>
            <w:tcW w:w="7265" w:type="dxa"/>
            <w:vAlign w:val="center"/>
          </w:tcPr>
          <w:p>
            <w:pPr>
              <w:rPr>
                <w:rFonts w:hint="default"/>
                <w:sz w:val="21"/>
                <w:szCs w:val="21"/>
              </w:rPr>
            </w:pPr>
            <w:r>
              <w:rPr>
                <w:sz w:val="21"/>
                <w:szCs w:val="21"/>
              </w:rPr>
              <w:t>本项目召开开标会议时，投标人必须派法定代表人持法定代表人证明资料原件或其授权委托代理人持授权委托书（授权委托书须由法定代表人亲笔签名）及本人身份证原件、《投标承诺书》原件、投标文件和资格后审资料准时参加。如法定代表人作为项目负责人</w:t>
            </w:r>
            <w:r>
              <w:rPr>
                <w:rFonts w:cs="宋体"/>
                <w:sz w:val="21"/>
                <w:szCs w:val="21"/>
              </w:rPr>
              <w:t>只需提供法定代表人身份证明原件</w:t>
            </w:r>
            <w:r>
              <w:rPr>
                <w:sz w:val="21"/>
                <w:szCs w:val="21"/>
              </w:rPr>
              <w:t>。</w:t>
            </w:r>
          </w:p>
          <w:p>
            <w:pPr>
              <w:rPr>
                <w:rFonts w:hint="default"/>
                <w:sz w:val="21"/>
                <w:szCs w:val="21"/>
              </w:rPr>
            </w:pPr>
            <w:r>
              <w:rPr>
                <w:sz w:val="21"/>
                <w:szCs w:val="21"/>
              </w:rPr>
              <w:t>不符合上述要求的，投标文件将被拒绝。</w:t>
            </w:r>
          </w:p>
        </w:tc>
      </w:tr>
      <w:bookmarkEnd w:id="25"/>
    </w:tbl>
    <w:p>
      <w:pPr>
        <w:spacing w:line="360" w:lineRule="auto"/>
        <w:ind w:firstLine="411" w:firstLineChars="196"/>
        <w:jc w:val="left"/>
        <w:rPr>
          <w:rFonts w:hint="default" w:ascii="黑体" w:hAnsi="黑体" w:eastAsia="黑体" w:cs="黑体"/>
          <w:bCs/>
          <w:sz w:val="28"/>
        </w:rPr>
      </w:pPr>
      <w:bookmarkStart w:id="28" w:name="_Toc309292921"/>
      <w:bookmarkStart w:id="29" w:name="_Toc252213302"/>
      <w:r>
        <w:rPr>
          <w:sz w:val="21"/>
          <w:szCs w:val="21"/>
        </w:rPr>
        <w:t>注：本投标人须知前附表是对投标人须知正文部分的完善和补充，若前附表与正文部分不一致，以前附表为准。</w:t>
      </w:r>
      <w:r>
        <w:rPr>
          <w:b/>
          <w:sz w:val="21"/>
          <w:szCs w:val="21"/>
        </w:rPr>
        <w:br w:type="page"/>
      </w:r>
      <w:bookmarkEnd w:id="28"/>
      <w:bookmarkEnd w:id="29"/>
      <w:bookmarkStart w:id="30" w:name="_Toc310493326"/>
      <w:bookmarkStart w:id="31" w:name="_Toc363035014"/>
      <w:r>
        <w:rPr>
          <w:rFonts w:ascii="黑体" w:hAnsi="黑体" w:eastAsia="黑体" w:cs="黑体"/>
          <w:bCs/>
          <w:sz w:val="28"/>
        </w:rPr>
        <w:t>（二）投标人须知正文</w:t>
      </w:r>
    </w:p>
    <w:p>
      <w:pPr>
        <w:spacing w:line="360" w:lineRule="auto"/>
        <w:ind w:firstLine="413" w:firstLineChars="196"/>
        <w:rPr>
          <w:rFonts w:hint="default"/>
        </w:rPr>
      </w:pPr>
      <w:r>
        <w:rPr>
          <w:b/>
          <w:sz w:val="21"/>
          <w:szCs w:val="21"/>
        </w:rPr>
        <w:t>1.总则</w:t>
      </w:r>
      <w:bookmarkEnd w:id="30"/>
      <w:bookmarkEnd w:id="31"/>
      <w:bookmarkStart w:id="32" w:name="_Hlt226599214"/>
      <w:bookmarkEnd w:id="32"/>
      <w:bookmarkStart w:id="33" w:name="_Toc235592894"/>
      <w:bookmarkStart w:id="34" w:name="_Toc363035015"/>
      <w:bookmarkStart w:id="35" w:name="_Toc193115692"/>
    </w:p>
    <w:p>
      <w:pPr>
        <w:spacing w:line="360" w:lineRule="auto"/>
        <w:ind w:firstLine="413" w:firstLineChars="196"/>
        <w:rPr>
          <w:rFonts w:hint="default"/>
        </w:rPr>
      </w:pPr>
      <w:r>
        <w:rPr>
          <w:b/>
          <w:sz w:val="21"/>
          <w:szCs w:val="21"/>
        </w:rPr>
        <w:t>1.1项目概况</w:t>
      </w:r>
      <w:bookmarkEnd w:id="33"/>
      <w:bookmarkEnd w:id="34"/>
      <w:bookmarkEnd w:id="35"/>
    </w:p>
    <w:p>
      <w:pPr>
        <w:pStyle w:val="16"/>
        <w:widowControl w:val="0"/>
        <w:adjustRightInd w:val="0"/>
        <w:snapToGrid w:val="0"/>
        <w:spacing w:before="0" w:beforeAutospacing="0" w:after="0" w:afterAutospacing="0" w:line="360" w:lineRule="auto"/>
        <w:ind w:firstLine="420" w:firstLineChars="200"/>
        <w:rPr>
          <w:sz w:val="21"/>
          <w:szCs w:val="21"/>
        </w:rPr>
      </w:pPr>
      <w:r>
        <w:rPr>
          <w:rFonts w:ascii="宋体" w:hAnsi="宋体"/>
          <w:sz w:val="21"/>
          <w:szCs w:val="21"/>
        </w:rPr>
        <w:t>1.1.1</w:t>
      </w:r>
      <w:r>
        <w:rPr>
          <w:rFonts w:hint="eastAsia" w:ascii="宋体" w:hAnsi="宋体"/>
          <w:sz w:val="21"/>
          <w:szCs w:val="21"/>
        </w:rPr>
        <w:t>根据《中华人民共和国招标投标法》等有关法律、法规和规章的规定，</w:t>
      </w:r>
      <w:r>
        <w:rPr>
          <w:rFonts w:hint="eastAsia"/>
          <w:sz w:val="21"/>
          <w:szCs w:val="21"/>
        </w:rPr>
        <w:t>本招标项目已具备招标条件，现对本标段造价咨询与相关服务进行招标。</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1.1.2</w:t>
      </w:r>
      <w:r>
        <w:rPr>
          <w:rFonts w:hint="eastAsia" w:ascii="宋体" w:hAnsi="宋体"/>
          <w:sz w:val="21"/>
          <w:szCs w:val="21"/>
        </w:rPr>
        <w:t>本招标项目招标人：见投标人须知前附表。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1.1.3</w:t>
      </w:r>
      <w:r>
        <w:rPr>
          <w:rFonts w:hint="eastAsia" w:ascii="宋体" w:hAnsi="宋体"/>
          <w:sz w:val="21"/>
          <w:szCs w:val="21"/>
        </w:rPr>
        <w:t>本标段招标代理机构：见投标人须知前附表。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1.1.4</w:t>
      </w:r>
      <w:r>
        <w:rPr>
          <w:rFonts w:hint="eastAsia" w:ascii="宋体" w:hAnsi="宋体"/>
          <w:sz w:val="21"/>
          <w:szCs w:val="21"/>
        </w:rPr>
        <w:t>本招标项目名称：见投标人须知前附表。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1.1.5</w:t>
      </w:r>
      <w:r>
        <w:rPr>
          <w:rFonts w:hint="eastAsia" w:ascii="宋体" w:hAnsi="宋体"/>
          <w:sz w:val="21"/>
          <w:szCs w:val="21"/>
        </w:rPr>
        <w:t>本标段建设地点：见投标人须知前附表。</w:t>
      </w:r>
    </w:p>
    <w:p>
      <w:pPr>
        <w:spacing w:line="360" w:lineRule="auto"/>
        <w:ind w:firstLine="413" w:firstLineChars="196"/>
        <w:rPr>
          <w:rFonts w:hint="default"/>
          <w:b/>
          <w:sz w:val="21"/>
          <w:szCs w:val="21"/>
        </w:rPr>
      </w:pPr>
      <w:bookmarkStart w:id="36" w:name="_Toc235592895"/>
      <w:bookmarkStart w:id="37" w:name="_Toc193115693"/>
      <w:bookmarkStart w:id="38" w:name="_Toc363035016"/>
      <w:r>
        <w:rPr>
          <w:b/>
          <w:sz w:val="21"/>
          <w:szCs w:val="21"/>
        </w:rPr>
        <w:t>1.2资金来源和落实情况</w:t>
      </w:r>
      <w:bookmarkEnd w:id="36"/>
      <w:bookmarkEnd w:id="37"/>
      <w:bookmarkEnd w:id="3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1.2.1</w:t>
      </w:r>
      <w:r>
        <w:rPr>
          <w:rFonts w:hint="eastAsia" w:ascii="宋体" w:hAnsi="宋体"/>
          <w:sz w:val="21"/>
          <w:szCs w:val="21"/>
        </w:rPr>
        <w:t>本招标项目的资金来源：见投标人须知前附表。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1.2.2本招标项目的资金落实情况：见投标人须知前附表。</w:t>
      </w:r>
    </w:p>
    <w:p>
      <w:pPr>
        <w:spacing w:line="360" w:lineRule="auto"/>
        <w:ind w:firstLine="413" w:firstLineChars="196"/>
        <w:rPr>
          <w:rFonts w:hint="default"/>
          <w:b/>
          <w:sz w:val="21"/>
          <w:szCs w:val="21"/>
        </w:rPr>
      </w:pPr>
      <w:bookmarkStart w:id="39" w:name="_Toc235592896"/>
      <w:bookmarkStart w:id="40" w:name="_Toc363035017"/>
      <w:bookmarkStart w:id="41" w:name="_Toc193115694"/>
      <w:r>
        <w:rPr>
          <w:b/>
          <w:sz w:val="21"/>
          <w:szCs w:val="21"/>
        </w:rPr>
        <w:t>1.3造价咨询范围、造价咨询服务期、质量要求</w:t>
      </w:r>
      <w:bookmarkEnd w:id="39"/>
      <w:bookmarkEnd w:id="40"/>
      <w:bookmarkEnd w:id="4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1.3.1本次造价咨询范围：见投标人须知前附表。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.3.2本标段的造价咨询服务期：见投标人须知前附表。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.3.3本标段的质量要求：见投标人须知前附表。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1.3.4 本次造价咨询须严格按时间要求完成，未按招标约定时间完成，每逾期1天罚款2万元，逾期15天仍未完成直接更换咨询机构。</w:t>
      </w:r>
    </w:p>
    <w:p>
      <w:pPr>
        <w:spacing w:line="360" w:lineRule="auto"/>
        <w:ind w:firstLine="413" w:firstLineChars="196"/>
        <w:rPr>
          <w:rFonts w:hint="default"/>
          <w:b/>
          <w:sz w:val="21"/>
          <w:szCs w:val="21"/>
        </w:rPr>
      </w:pPr>
      <w:bookmarkStart w:id="42" w:name="_Toc235592897"/>
      <w:bookmarkStart w:id="43" w:name="_Toc363035018"/>
      <w:bookmarkStart w:id="44" w:name="_Toc193115695"/>
      <w:r>
        <w:rPr>
          <w:b/>
          <w:sz w:val="21"/>
          <w:szCs w:val="21"/>
        </w:rPr>
        <w:t>1.4投</w:t>
      </w:r>
      <w:bookmarkStart w:id="45" w:name="_Hlt226551213"/>
      <w:bookmarkEnd w:id="45"/>
      <w:r>
        <w:rPr>
          <w:b/>
          <w:sz w:val="21"/>
          <w:szCs w:val="21"/>
        </w:rPr>
        <w:t>标</w:t>
      </w:r>
      <w:bookmarkStart w:id="46" w:name="_Hlt226551203"/>
      <w:bookmarkEnd w:id="46"/>
      <w:r>
        <w:rPr>
          <w:b/>
          <w:sz w:val="21"/>
          <w:szCs w:val="21"/>
        </w:rPr>
        <w:t>人资格要求</w:t>
      </w:r>
      <w:bookmarkEnd w:id="42"/>
      <w:bookmarkEnd w:id="43"/>
      <w:bookmarkEnd w:id="4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47" w:name="_Toc235592898"/>
      <w:bookmarkStart w:id="48" w:name="_Toc193115697"/>
      <w:r>
        <w:rPr>
          <w:rFonts w:ascii="宋体" w:hAnsi="宋体"/>
          <w:sz w:val="21"/>
          <w:szCs w:val="21"/>
        </w:rPr>
        <w:t>1.4.</w:t>
      </w:r>
      <w:r>
        <w:rPr>
          <w:rFonts w:hint="eastAsia" w:ascii="宋体" w:hAnsi="宋体"/>
          <w:sz w:val="21"/>
          <w:szCs w:val="21"/>
        </w:rPr>
        <w:t>1投标人不得存在下列情形之一：</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（1）为招标人不具有独立法人资格的附属机构（单位）；</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（2）与本标段其他投标人的单位负责人的单位负责人为同一人或者存在控股、管理关系；</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（3）被责令停业的；</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（4）被暂停或取消投标资格的；</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（5）财产被接管的；</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1.4.2投标人资格要求见投标人须知前附表第10项；</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1.4.3除不可抗力因素外，中标人自投标截止之日起至完成合同约定工程内容之日止，不得更换和撤离项目负责人。对擅自更换或撤离的，按骗取中标处理，其中标结果无效，并承担由此造成的损失。</w:t>
      </w:r>
    </w:p>
    <w:p>
      <w:pPr>
        <w:spacing w:line="360" w:lineRule="auto"/>
        <w:ind w:firstLine="413" w:firstLineChars="196"/>
        <w:rPr>
          <w:rFonts w:hint="default"/>
          <w:b/>
          <w:sz w:val="21"/>
          <w:szCs w:val="21"/>
        </w:rPr>
      </w:pPr>
      <w:bookmarkStart w:id="49" w:name="_Toc363035019"/>
      <w:r>
        <w:rPr>
          <w:b/>
          <w:sz w:val="21"/>
          <w:szCs w:val="21"/>
        </w:rPr>
        <w:t>1.5费用承担</w:t>
      </w:r>
      <w:bookmarkEnd w:id="47"/>
      <w:bookmarkEnd w:id="48"/>
      <w:bookmarkEnd w:id="49"/>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投标人准备和参加投标活动发生的费用自理。</w:t>
      </w:r>
      <w:bookmarkStart w:id="50" w:name="_Toc193115698"/>
      <w:bookmarkStart w:id="51" w:name="_Toc235592899"/>
    </w:p>
    <w:p>
      <w:pPr>
        <w:spacing w:line="360" w:lineRule="auto"/>
        <w:ind w:firstLine="413" w:firstLineChars="196"/>
        <w:rPr>
          <w:rFonts w:hint="default"/>
          <w:b/>
          <w:sz w:val="21"/>
          <w:szCs w:val="21"/>
        </w:rPr>
      </w:pPr>
      <w:bookmarkStart w:id="52" w:name="_Toc363035020"/>
      <w:r>
        <w:rPr>
          <w:b/>
          <w:sz w:val="21"/>
          <w:szCs w:val="21"/>
        </w:rPr>
        <w:t>1.6保密</w:t>
      </w:r>
      <w:bookmarkEnd w:id="50"/>
      <w:bookmarkEnd w:id="51"/>
      <w:bookmarkEnd w:id="52"/>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参与招标投标活动的各方应对招标文件和投标文件中的商业和技术等秘密保密，违者应对由此造成的后果承担法律责任。</w:t>
      </w:r>
    </w:p>
    <w:p>
      <w:pPr>
        <w:spacing w:line="360" w:lineRule="auto"/>
        <w:ind w:firstLine="413" w:firstLineChars="196"/>
        <w:rPr>
          <w:rFonts w:hint="default"/>
          <w:b/>
          <w:sz w:val="21"/>
          <w:szCs w:val="21"/>
        </w:rPr>
      </w:pPr>
      <w:bookmarkStart w:id="53" w:name="_Toc235592900"/>
      <w:bookmarkStart w:id="54" w:name="_Toc363035021"/>
      <w:bookmarkStart w:id="55" w:name="_Toc193115699"/>
      <w:r>
        <w:rPr>
          <w:b/>
          <w:sz w:val="21"/>
          <w:szCs w:val="21"/>
        </w:rPr>
        <w:t>1.7语言文字</w:t>
      </w:r>
      <w:bookmarkEnd w:id="53"/>
      <w:bookmarkEnd w:id="54"/>
      <w:bookmarkEnd w:id="55"/>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除专用术语外，与招标投标有关的语言均使用中文。必要时专用术语应附有中文注释。</w:t>
      </w:r>
    </w:p>
    <w:p>
      <w:pPr>
        <w:spacing w:line="360" w:lineRule="auto"/>
        <w:ind w:firstLine="413" w:firstLineChars="196"/>
        <w:rPr>
          <w:rFonts w:hint="default"/>
          <w:b/>
          <w:sz w:val="21"/>
          <w:szCs w:val="21"/>
        </w:rPr>
      </w:pPr>
      <w:bookmarkStart w:id="56" w:name="_Toc193115700"/>
      <w:bookmarkStart w:id="57" w:name="_Toc235592901"/>
      <w:bookmarkStart w:id="58" w:name="_Toc363035022"/>
      <w:r>
        <w:rPr>
          <w:b/>
          <w:sz w:val="21"/>
          <w:szCs w:val="21"/>
        </w:rPr>
        <w:t>1.8计量单位</w:t>
      </w:r>
      <w:bookmarkEnd w:id="56"/>
      <w:bookmarkEnd w:id="57"/>
      <w:bookmarkEnd w:id="5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所有计量均采用中华人民共和国法定计量单位。</w:t>
      </w:r>
    </w:p>
    <w:p>
      <w:pPr>
        <w:spacing w:line="360" w:lineRule="auto"/>
        <w:ind w:firstLine="413" w:firstLineChars="196"/>
        <w:rPr>
          <w:rFonts w:hint="default"/>
          <w:b/>
          <w:sz w:val="21"/>
          <w:szCs w:val="21"/>
        </w:rPr>
      </w:pPr>
      <w:bookmarkStart w:id="59" w:name="_Toc235592902"/>
      <w:bookmarkStart w:id="60" w:name="_Toc363035023"/>
      <w:bookmarkStart w:id="61" w:name="_Toc193115701"/>
      <w:r>
        <w:rPr>
          <w:b/>
          <w:sz w:val="21"/>
          <w:szCs w:val="21"/>
        </w:rPr>
        <w:t>1.9踏勘现场</w:t>
      </w:r>
      <w:bookmarkEnd w:id="59"/>
      <w:bookmarkEnd w:id="60"/>
      <w:bookmarkEnd w:id="6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1.9.1</w:t>
      </w:r>
      <w:r>
        <w:rPr>
          <w:rFonts w:hint="eastAsia" w:ascii="宋体" w:hAnsi="宋体"/>
          <w:sz w:val="21"/>
          <w:szCs w:val="21"/>
        </w:rPr>
        <w:t>投标人按须知前附表规定自行组织踏勘现场，但不能与招标人接触，不能透露投标人名称。</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1.9.2</w:t>
      </w:r>
      <w:r>
        <w:rPr>
          <w:rFonts w:hint="eastAsia" w:ascii="宋体" w:hAnsi="宋体"/>
          <w:sz w:val="21"/>
          <w:szCs w:val="21"/>
        </w:rPr>
        <w:t>投标人踏勘现场发生的费用自理。</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1.9.3</w:t>
      </w:r>
      <w:r>
        <w:rPr>
          <w:rFonts w:hint="eastAsia" w:ascii="宋体" w:hAnsi="宋体"/>
          <w:sz w:val="21"/>
          <w:szCs w:val="21"/>
        </w:rPr>
        <w:t>投标人应自行承担踏勘现场中所发生的人员伤亡和财产损失。</w:t>
      </w:r>
    </w:p>
    <w:p>
      <w:pPr>
        <w:spacing w:line="360" w:lineRule="auto"/>
        <w:ind w:firstLine="413" w:firstLineChars="196"/>
        <w:rPr>
          <w:rFonts w:hint="default"/>
          <w:b/>
          <w:sz w:val="21"/>
          <w:szCs w:val="21"/>
        </w:rPr>
      </w:pPr>
      <w:bookmarkStart w:id="62" w:name="_Hlt226791875"/>
      <w:bookmarkEnd w:id="62"/>
      <w:bookmarkStart w:id="63" w:name="_Toc235592903"/>
      <w:bookmarkStart w:id="64" w:name="_Toc363035024"/>
      <w:bookmarkStart w:id="65" w:name="_Toc193115702"/>
      <w:r>
        <w:rPr>
          <w:b/>
          <w:sz w:val="21"/>
          <w:szCs w:val="21"/>
        </w:rPr>
        <w:t>1.10招标答疑</w:t>
      </w:r>
      <w:bookmarkEnd w:id="63"/>
      <w:bookmarkEnd w:id="64"/>
      <w:bookmarkEnd w:id="65"/>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1.10.1投标人如对招标文件及其他招标资料需要质疑的，应在须知前附表规定的时间前，以</w:t>
      </w:r>
      <w:r>
        <w:rPr>
          <w:rFonts w:hint="eastAsia" w:ascii="宋体" w:hAnsi="宋体"/>
          <w:sz w:val="21"/>
          <w:szCs w:val="21"/>
          <w:lang w:eastAsia="zh-CN"/>
        </w:rPr>
        <w:t>书面形式向招标人</w:t>
      </w:r>
      <w:r>
        <w:rPr>
          <w:rFonts w:hint="eastAsia" w:ascii="宋体" w:hAnsi="宋体"/>
          <w:sz w:val="21"/>
          <w:szCs w:val="21"/>
        </w:rPr>
        <w:t>进行提问。</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1.10.2招标人应在须知前附表规定的时间前作出解答并形成答疑纪，该澄清内容为招标文件的组成部分。</w:t>
      </w:r>
    </w:p>
    <w:p>
      <w:pPr>
        <w:spacing w:line="360" w:lineRule="auto"/>
        <w:ind w:firstLine="413" w:firstLineChars="196"/>
        <w:rPr>
          <w:rFonts w:hint="default"/>
          <w:b/>
          <w:sz w:val="21"/>
          <w:szCs w:val="21"/>
        </w:rPr>
      </w:pPr>
      <w:bookmarkStart w:id="66" w:name="_Toc193115704"/>
      <w:bookmarkStart w:id="67" w:name="_Toc235592904"/>
      <w:bookmarkStart w:id="68" w:name="_Toc363035025"/>
      <w:r>
        <w:rPr>
          <w:b/>
          <w:sz w:val="21"/>
          <w:szCs w:val="21"/>
        </w:rPr>
        <w:t>1.11偏离</w:t>
      </w:r>
      <w:bookmarkEnd w:id="66"/>
      <w:bookmarkEnd w:id="67"/>
      <w:bookmarkEnd w:id="6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投标文件不允许偏离招标文件。</w:t>
      </w:r>
    </w:p>
    <w:p>
      <w:pPr>
        <w:spacing w:line="360" w:lineRule="auto"/>
        <w:ind w:firstLine="413" w:firstLineChars="196"/>
        <w:rPr>
          <w:rFonts w:hint="default"/>
          <w:b/>
          <w:sz w:val="21"/>
          <w:szCs w:val="21"/>
        </w:rPr>
      </w:pPr>
      <w:bookmarkStart w:id="69" w:name="_Toc363035027"/>
      <w:bookmarkStart w:id="70" w:name="_Toc310493327"/>
      <w:bookmarkStart w:id="71" w:name="_Toc235592905"/>
      <w:bookmarkStart w:id="72" w:name="_Toc193115705"/>
      <w:bookmarkStart w:id="73" w:name="_Toc309292924"/>
      <w:r>
        <w:rPr>
          <w:b/>
          <w:sz w:val="21"/>
          <w:szCs w:val="21"/>
        </w:rPr>
        <w:t>2.招标文件</w:t>
      </w:r>
      <w:bookmarkEnd w:id="69"/>
      <w:bookmarkEnd w:id="70"/>
      <w:bookmarkEnd w:id="71"/>
      <w:bookmarkEnd w:id="72"/>
    </w:p>
    <w:p>
      <w:pPr>
        <w:spacing w:line="360" w:lineRule="auto"/>
        <w:ind w:firstLine="413" w:firstLineChars="196"/>
        <w:rPr>
          <w:rFonts w:hint="default"/>
          <w:b/>
          <w:sz w:val="21"/>
          <w:szCs w:val="21"/>
        </w:rPr>
      </w:pPr>
      <w:bookmarkStart w:id="74" w:name="_Hlt226604091"/>
      <w:bookmarkEnd w:id="74"/>
      <w:bookmarkStart w:id="75" w:name="_Toc235592906"/>
      <w:bookmarkStart w:id="76" w:name="_Toc193115706"/>
      <w:bookmarkStart w:id="77" w:name="_Toc363035028"/>
      <w:r>
        <w:rPr>
          <w:b/>
          <w:sz w:val="21"/>
          <w:szCs w:val="21"/>
        </w:rPr>
        <w:t>2.1招标文件的组成</w:t>
      </w:r>
      <w:bookmarkEnd w:id="75"/>
      <w:bookmarkEnd w:id="76"/>
      <w:bookmarkEnd w:id="7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本招标文件包括：</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（1）招标公告；</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（2）投标人须知；</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（3）评标办法；</w:t>
      </w:r>
      <w:bookmarkStart w:id="78" w:name="_Hlt226604070"/>
      <w:bookmarkEnd w:id="7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（4）合同条款及格式；</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（5）图纸及其他资料；</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（6）投标文件的格式及组成；</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根据本章第1.10款、第2.2款和第2.3款对招标文件所作的澄清、修改，构成招标文件的组成部分。</w:t>
      </w:r>
    </w:p>
    <w:p>
      <w:pPr>
        <w:spacing w:line="360" w:lineRule="auto"/>
        <w:ind w:firstLine="413" w:firstLineChars="196"/>
        <w:rPr>
          <w:rFonts w:hint="default"/>
          <w:b/>
          <w:sz w:val="21"/>
          <w:szCs w:val="21"/>
        </w:rPr>
      </w:pPr>
      <w:bookmarkStart w:id="79" w:name="_Toc235592907"/>
      <w:bookmarkStart w:id="80" w:name="_Toc193115707"/>
      <w:bookmarkStart w:id="81" w:name="_Toc363035029"/>
      <w:r>
        <w:rPr>
          <w:b/>
          <w:sz w:val="21"/>
          <w:szCs w:val="21"/>
        </w:rPr>
        <w:t>2.2招标文件的澄清</w:t>
      </w:r>
      <w:bookmarkEnd w:id="79"/>
      <w:bookmarkEnd w:id="80"/>
      <w:bookmarkEnd w:id="8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2.2.1投标人应仔细阅读和检查招标文件的全部内容。如发现缺页或附件不全，应在投标人须知前附表规定的时间前及规定的方式向招标人提出，以便补齐。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如有疑问，应在投标人须知前附表规定的时间前及规定的方式提出，要求招标人对招标文件予以澄清；</w:t>
      </w:r>
    </w:p>
    <w:p>
      <w:pPr>
        <w:spacing w:line="360" w:lineRule="auto"/>
        <w:ind w:firstLine="413" w:firstLineChars="196"/>
        <w:rPr>
          <w:rFonts w:hint="default"/>
          <w:b/>
          <w:sz w:val="21"/>
          <w:szCs w:val="21"/>
        </w:rPr>
      </w:pPr>
      <w:bookmarkStart w:id="82" w:name="_Toc235592908"/>
      <w:bookmarkStart w:id="83" w:name="_Toc193115708"/>
      <w:bookmarkStart w:id="84" w:name="_Toc363035030"/>
      <w:r>
        <w:rPr>
          <w:b/>
          <w:sz w:val="21"/>
          <w:szCs w:val="21"/>
        </w:rPr>
        <w:t>2.3招标文件的修改</w:t>
      </w:r>
      <w:bookmarkEnd w:id="82"/>
      <w:bookmarkEnd w:id="83"/>
      <w:bookmarkEnd w:id="8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当招标文件、招标文件的澄清、修改、补充等在同一内容的表述上不一致时，以最后发出的文件为准。</w:t>
      </w:r>
    </w:p>
    <w:bookmarkEnd w:id="73"/>
    <w:p>
      <w:pPr>
        <w:spacing w:line="360" w:lineRule="auto"/>
        <w:ind w:firstLine="413" w:firstLineChars="196"/>
        <w:rPr>
          <w:rFonts w:hint="default"/>
          <w:b/>
          <w:sz w:val="21"/>
          <w:szCs w:val="21"/>
        </w:rPr>
      </w:pPr>
      <w:bookmarkStart w:id="85" w:name="_Toc235592909"/>
      <w:bookmarkStart w:id="86" w:name="_Toc310493328"/>
      <w:bookmarkStart w:id="87" w:name="_Toc193115709"/>
      <w:bookmarkStart w:id="88" w:name="_Toc363035031"/>
      <w:r>
        <w:rPr>
          <w:b/>
          <w:sz w:val="21"/>
          <w:szCs w:val="21"/>
        </w:rPr>
        <w:t>3.投标文件</w:t>
      </w:r>
      <w:bookmarkEnd w:id="85"/>
      <w:bookmarkEnd w:id="86"/>
      <w:bookmarkEnd w:id="87"/>
      <w:bookmarkEnd w:id="88"/>
    </w:p>
    <w:p>
      <w:pPr>
        <w:spacing w:line="360" w:lineRule="auto"/>
        <w:ind w:firstLine="413" w:firstLineChars="196"/>
        <w:rPr>
          <w:rFonts w:hint="default"/>
          <w:b/>
          <w:sz w:val="21"/>
          <w:szCs w:val="21"/>
        </w:rPr>
      </w:pPr>
      <w:bookmarkStart w:id="89" w:name="_Toc363035032"/>
      <w:bookmarkStart w:id="90" w:name="_Toc235592910"/>
      <w:bookmarkStart w:id="91" w:name="_Toc193115710"/>
      <w:r>
        <w:rPr>
          <w:b/>
          <w:sz w:val="21"/>
          <w:szCs w:val="21"/>
        </w:rPr>
        <w:t>3.1投标文件的组成</w:t>
      </w:r>
      <w:bookmarkEnd w:id="89"/>
      <w:bookmarkEnd w:id="90"/>
      <w:bookmarkEnd w:id="9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.1.1投标文件应包括下列内容：</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一、</w:t>
      </w:r>
      <w:r>
        <w:rPr>
          <w:rFonts w:hint="eastAsia" w:ascii="宋体" w:hAnsi="宋体"/>
          <w:sz w:val="21"/>
          <w:szCs w:val="21"/>
        </w:rPr>
        <w:t>投标函</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二、</w:t>
      </w:r>
      <w:r>
        <w:rPr>
          <w:rFonts w:hint="eastAsia" w:ascii="宋体" w:hAnsi="宋体"/>
          <w:sz w:val="21"/>
          <w:szCs w:val="21"/>
        </w:rPr>
        <w:t>法定代表人资格证明书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三、</w:t>
      </w:r>
      <w:r>
        <w:rPr>
          <w:rFonts w:hint="eastAsia" w:ascii="宋体" w:hAnsi="宋体"/>
          <w:sz w:val="21"/>
          <w:szCs w:val="21"/>
        </w:rPr>
        <w:t>授权委托书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四、</w:t>
      </w:r>
      <w:r>
        <w:rPr>
          <w:rFonts w:hint="eastAsia" w:ascii="宋体" w:hAnsi="宋体"/>
          <w:sz w:val="21"/>
          <w:szCs w:val="21"/>
        </w:rPr>
        <w:t>投标承诺书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五、</w:t>
      </w:r>
      <w:r>
        <w:rPr>
          <w:rFonts w:ascii="宋体" w:hAnsi="宋体"/>
          <w:sz w:val="21"/>
          <w:szCs w:val="21"/>
        </w:rPr>
        <w:t>开标一览表</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六、资料审查资料</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）投标人基本情况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）企业专业技术人员情况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）投标人类似业绩经验</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七、</w:t>
      </w:r>
      <w:r>
        <w:rPr>
          <w:rFonts w:hint="eastAsia" w:ascii="宋体" w:hAnsi="宋体"/>
          <w:sz w:val="21"/>
          <w:szCs w:val="21"/>
        </w:rPr>
        <w:t>拟任项目组服务团队人员一览表</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八、</w:t>
      </w:r>
      <w:r>
        <w:rPr>
          <w:rFonts w:hint="eastAsia" w:ascii="宋体" w:hAnsi="宋体"/>
          <w:sz w:val="21"/>
          <w:szCs w:val="21"/>
        </w:rPr>
        <w:t>其他内</w:t>
      </w:r>
      <w:r>
        <w:rPr>
          <w:rFonts w:hint="eastAsia"/>
          <w:sz w:val="21"/>
          <w:szCs w:val="21"/>
        </w:rPr>
        <w:t>容</w:t>
      </w:r>
    </w:p>
    <w:p>
      <w:pPr>
        <w:pStyle w:val="16"/>
        <w:widowControl w:val="0"/>
        <w:adjustRightInd w:val="0"/>
        <w:snapToGrid w:val="0"/>
        <w:spacing w:before="0" w:beforeAutospacing="0" w:after="0" w:afterAutospacing="0" w:line="360" w:lineRule="auto"/>
        <w:ind w:firstLine="420" w:firstLineChars="200"/>
        <w:rPr>
          <w:rFonts w:ascii="宋体" w:hAnsi="宋体"/>
          <w:color w:val="auto"/>
          <w:sz w:val="21"/>
          <w:szCs w:val="21"/>
        </w:rPr>
      </w:pPr>
      <w:r>
        <w:rPr>
          <w:rFonts w:hint="eastAsia" w:ascii="宋体" w:hAnsi="宋体"/>
          <w:color w:val="auto"/>
          <w:sz w:val="21"/>
          <w:szCs w:val="21"/>
        </w:rPr>
        <w:t>（具体详见第六章）</w:t>
      </w:r>
    </w:p>
    <w:p>
      <w:pPr>
        <w:spacing w:line="360" w:lineRule="auto"/>
        <w:ind w:firstLine="413" w:firstLineChars="196"/>
        <w:rPr>
          <w:rFonts w:hint="default"/>
          <w:b/>
          <w:sz w:val="21"/>
          <w:szCs w:val="21"/>
        </w:rPr>
      </w:pPr>
      <w:bookmarkStart w:id="92" w:name="_Toc193115711"/>
      <w:bookmarkStart w:id="93" w:name="_Toc363035033"/>
      <w:bookmarkStart w:id="94" w:name="_Toc235592911"/>
      <w:r>
        <w:rPr>
          <w:b/>
          <w:sz w:val="21"/>
          <w:szCs w:val="21"/>
        </w:rPr>
        <w:t>3.2投标报价</w:t>
      </w:r>
      <w:bookmarkEnd w:id="92"/>
      <w:bookmarkEnd w:id="93"/>
      <w:bookmarkEnd w:id="94"/>
    </w:p>
    <w:p>
      <w:pPr>
        <w:pStyle w:val="16"/>
        <w:widowControl w:val="0"/>
        <w:adjustRightInd w:val="0"/>
        <w:snapToGrid w:val="0"/>
        <w:spacing w:before="0" w:beforeAutospacing="0" w:after="0" w:afterAutospacing="0" w:line="360" w:lineRule="auto"/>
        <w:ind w:firstLine="420" w:firstLineChars="200"/>
        <w:rPr>
          <w:color w:val="FF0000"/>
          <w:sz w:val="21"/>
          <w:szCs w:val="21"/>
        </w:rPr>
      </w:pPr>
      <w:r>
        <w:rPr>
          <w:rFonts w:hint="eastAsia"/>
          <w:color w:val="FF0000"/>
          <w:sz w:val="21"/>
          <w:szCs w:val="21"/>
        </w:rPr>
        <w:t>根据湘建价协〔2016〕25 号进行下浮率填报。最终费率将会按照</w:t>
      </w:r>
      <w:r>
        <w:rPr>
          <w:rFonts w:hint="eastAsia"/>
          <w:color w:val="FF0000"/>
          <w:sz w:val="21"/>
          <w:szCs w:val="21"/>
          <w:lang w:val="en-US" w:eastAsia="zh-CN"/>
        </w:rPr>
        <w:t>2名中标人</w:t>
      </w:r>
      <w:r>
        <w:rPr>
          <w:rFonts w:hint="eastAsia"/>
          <w:color w:val="FF0000"/>
          <w:sz w:val="21"/>
          <w:szCs w:val="21"/>
        </w:rPr>
        <w:t>的算术平均值确定。</w:t>
      </w:r>
    </w:p>
    <w:p>
      <w:pPr>
        <w:spacing w:line="360" w:lineRule="auto"/>
        <w:ind w:firstLine="413" w:firstLineChars="196"/>
        <w:rPr>
          <w:rFonts w:hint="default"/>
          <w:b/>
          <w:sz w:val="21"/>
          <w:szCs w:val="21"/>
        </w:rPr>
      </w:pPr>
      <w:bookmarkStart w:id="95" w:name="_Toc363035034"/>
      <w:bookmarkStart w:id="96" w:name="_Toc193115712"/>
      <w:bookmarkStart w:id="97" w:name="_Toc235592912"/>
      <w:r>
        <w:rPr>
          <w:b/>
          <w:sz w:val="21"/>
          <w:szCs w:val="21"/>
        </w:rPr>
        <w:t>3.3投标有效期</w:t>
      </w:r>
      <w:bookmarkEnd w:id="95"/>
      <w:bookmarkEnd w:id="96"/>
      <w:bookmarkEnd w:id="97"/>
    </w:p>
    <w:p>
      <w:pPr>
        <w:spacing w:line="360" w:lineRule="auto"/>
        <w:ind w:firstLine="411" w:firstLineChars="196"/>
        <w:rPr>
          <w:rFonts w:hint="eastAsia" w:ascii="宋体" w:hAnsi="宋体"/>
          <w:sz w:val="21"/>
          <w:szCs w:val="21"/>
        </w:rPr>
      </w:pPr>
      <w:bookmarkStart w:id="98" w:name="_Toc193115713"/>
      <w:bookmarkStart w:id="99" w:name="_Toc235592913"/>
      <w:bookmarkStart w:id="100" w:name="_Toc363035035"/>
      <w:r>
        <w:rPr>
          <w:rFonts w:hint="eastAsia"/>
          <w:sz w:val="21"/>
          <w:szCs w:val="21"/>
          <w:lang w:val="en-US" w:eastAsia="zh-CN"/>
        </w:rPr>
        <w:t>3.3.1</w:t>
      </w:r>
      <w:r>
        <w:rPr>
          <w:rFonts w:hint="eastAsia" w:ascii="宋体" w:hAnsi="宋体"/>
          <w:sz w:val="21"/>
          <w:szCs w:val="21"/>
        </w:rPr>
        <w:t>在投标人须知前附表规定的投标有效期内，投标人不得要求撤销或修改其投标文件。</w:t>
      </w:r>
    </w:p>
    <w:p>
      <w:pPr>
        <w:spacing w:line="360" w:lineRule="auto"/>
        <w:ind w:firstLine="411" w:firstLineChars="196"/>
        <w:rPr>
          <w:rFonts w:hint="eastAsia" w:ascii="宋体" w:hAnsi="宋体"/>
          <w:sz w:val="21"/>
          <w:szCs w:val="21"/>
        </w:rPr>
      </w:pPr>
      <w:r>
        <w:rPr>
          <w:rFonts w:hint="eastAsia" w:ascii="宋体" w:hAnsi="宋体"/>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spacing w:line="360" w:lineRule="auto"/>
        <w:ind w:firstLine="413" w:firstLineChars="196"/>
        <w:rPr>
          <w:b/>
          <w:sz w:val="21"/>
          <w:szCs w:val="21"/>
        </w:rPr>
      </w:pPr>
      <w:r>
        <w:rPr>
          <w:b/>
          <w:sz w:val="21"/>
          <w:szCs w:val="21"/>
        </w:rPr>
        <w:t>3.4投标保证金</w:t>
      </w:r>
      <w:bookmarkEnd w:id="98"/>
      <w:bookmarkEnd w:id="99"/>
      <w:bookmarkEnd w:id="100"/>
    </w:p>
    <w:p>
      <w:pPr>
        <w:spacing w:line="360" w:lineRule="auto"/>
        <w:ind w:firstLine="411" w:firstLineChars="196"/>
        <w:rPr>
          <w:rFonts w:hint="eastAsia" w:eastAsia="宋体"/>
          <w:b w:val="0"/>
          <w:bCs/>
          <w:sz w:val="21"/>
          <w:szCs w:val="21"/>
          <w:lang w:eastAsia="zh-CN"/>
        </w:rPr>
      </w:pPr>
      <w:r>
        <w:rPr>
          <w:rFonts w:hint="eastAsia"/>
          <w:b w:val="0"/>
          <w:bCs/>
          <w:sz w:val="21"/>
          <w:szCs w:val="21"/>
          <w:lang w:eastAsia="zh-CN"/>
        </w:rPr>
        <w:t>本项目不要求提供。</w:t>
      </w:r>
    </w:p>
    <w:p>
      <w:pPr>
        <w:spacing w:line="360" w:lineRule="auto"/>
        <w:ind w:firstLine="413" w:firstLineChars="196"/>
        <w:rPr>
          <w:rFonts w:hint="default"/>
          <w:b/>
          <w:sz w:val="21"/>
          <w:szCs w:val="21"/>
        </w:rPr>
      </w:pPr>
      <w:bookmarkStart w:id="101" w:name="_Hlt226551219"/>
      <w:bookmarkEnd w:id="101"/>
      <w:bookmarkStart w:id="102" w:name="_Toc193115714"/>
      <w:bookmarkStart w:id="103" w:name="_Toc235592914"/>
      <w:bookmarkStart w:id="104" w:name="_Toc363035036"/>
      <w:r>
        <w:rPr>
          <w:b/>
          <w:sz w:val="21"/>
          <w:szCs w:val="21"/>
        </w:rPr>
        <w:t>3.5资格后审</w:t>
      </w:r>
      <w:bookmarkEnd w:id="102"/>
      <w:bookmarkEnd w:id="103"/>
      <w:bookmarkEnd w:id="104"/>
    </w:p>
    <w:p>
      <w:pPr>
        <w:spacing w:line="360" w:lineRule="auto"/>
        <w:ind w:firstLine="411" w:firstLineChars="196"/>
        <w:rPr>
          <w:rFonts w:hint="eastAsia" w:ascii="宋体" w:hAnsi="宋体"/>
          <w:sz w:val="21"/>
          <w:szCs w:val="21"/>
        </w:rPr>
      </w:pPr>
      <w:bookmarkStart w:id="105" w:name="_Toc193115716"/>
      <w:bookmarkStart w:id="106" w:name="_Toc235592915"/>
      <w:bookmarkStart w:id="107" w:name="_Toc363035037"/>
      <w:r>
        <w:rPr>
          <w:rFonts w:hint="eastAsia" w:ascii="宋体" w:hAnsi="宋体"/>
          <w:sz w:val="21"/>
          <w:szCs w:val="21"/>
        </w:rPr>
        <w:t>“投标人基本情况表”应附投标人营业执照副本、资质证书副本</w:t>
      </w:r>
    </w:p>
    <w:p>
      <w:pPr>
        <w:spacing w:line="360" w:lineRule="auto"/>
        <w:ind w:firstLine="413" w:firstLineChars="196"/>
        <w:rPr>
          <w:rFonts w:hint="default"/>
          <w:b/>
          <w:sz w:val="21"/>
          <w:szCs w:val="21"/>
        </w:rPr>
      </w:pPr>
      <w:r>
        <w:rPr>
          <w:b/>
          <w:sz w:val="21"/>
          <w:szCs w:val="21"/>
        </w:rPr>
        <w:t>3.6备选投标方案</w:t>
      </w:r>
      <w:bookmarkEnd w:id="105"/>
      <w:bookmarkEnd w:id="106"/>
      <w:bookmarkEnd w:id="10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不允许投标人递交备选投标方案。</w:t>
      </w:r>
    </w:p>
    <w:p>
      <w:pPr>
        <w:spacing w:line="360" w:lineRule="auto"/>
        <w:ind w:firstLine="413" w:firstLineChars="196"/>
        <w:rPr>
          <w:rFonts w:hint="default"/>
          <w:b/>
          <w:sz w:val="21"/>
          <w:szCs w:val="21"/>
        </w:rPr>
      </w:pPr>
      <w:bookmarkStart w:id="108" w:name="_Hlt226791878"/>
      <w:bookmarkEnd w:id="108"/>
      <w:bookmarkStart w:id="109" w:name="_Toc193115717"/>
      <w:bookmarkStart w:id="110" w:name="_Toc235592916"/>
      <w:bookmarkStart w:id="111" w:name="_Toc363035038"/>
      <w:r>
        <w:rPr>
          <w:b/>
          <w:sz w:val="21"/>
          <w:szCs w:val="21"/>
        </w:rPr>
        <w:t>3.7投标文件的编制</w:t>
      </w:r>
      <w:bookmarkEnd w:id="109"/>
      <w:bookmarkEnd w:id="110"/>
      <w:bookmarkEnd w:id="11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112" w:name="_Hlt226715444"/>
      <w:bookmarkEnd w:id="112"/>
      <w:r>
        <w:rPr>
          <w:rFonts w:ascii="宋体" w:hAnsi="宋体"/>
          <w:sz w:val="21"/>
          <w:szCs w:val="21"/>
        </w:rPr>
        <w:t>3</w:t>
      </w:r>
      <w:r>
        <w:rPr>
          <w:rFonts w:hint="eastAsia" w:ascii="宋体" w:hAnsi="宋体"/>
          <w:sz w:val="21"/>
          <w:szCs w:val="21"/>
        </w:rPr>
        <w:t>.7.1投标文件应按第六章“投标文件格式”进行编写，如有必要，可以增加附页，作为投标文件的组成部分。</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.7.2投标文件应当对招标文件有关</w:t>
      </w:r>
      <w:r>
        <w:rPr>
          <w:rFonts w:hint="eastAsia" w:ascii="宋体" w:hAnsi="宋体"/>
          <w:color w:val="auto"/>
          <w:sz w:val="21"/>
          <w:szCs w:val="21"/>
        </w:rPr>
        <w:t>造价咨询服务期、投标有效期、质量要求、报价范围、合同条款等实质性内容作出响应。</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3.7.3投标文件</w:t>
      </w:r>
      <w:bookmarkStart w:id="113" w:name="_Hlt232655217"/>
      <w:bookmarkEnd w:id="113"/>
      <w:r>
        <w:rPr>
          <w:rFonts w:hint="eastAsia" w:ascii="宋体" w:hAnsi="宋体"/>
          <w:sz w:val="21"/>
          <w:szCs w:val="21"/>
        </w:rPr>
        <w:t>应用不褪色的材料书写、打印或复印，并由投标人的法定代表人或其委托代理人签字</w:t>
      </w:r>
      <w:r>
        <w:rPr>
          <w:rFonts w:hint="eastAsia"/>
          <w:sz w:val="21"/>
          <w:szCs w:val="21"/>
        </w:rPr>
        <w:t>（或盖</w:t>
      </w:r>
      <w:r>
        <w:rPr>
          <w:sz w:val="21"/>
          <w:szCs w:val="21"/>
        </w:rPr>
        <w:t>章</w:t>
      </w:r>
      <w:r>
        <w:rPr>
          <w:rFonts w:hint="eastAsia"/>
          <w:sz w:val="21"/>
          <w:szCs w:val="21"/>
        </w:rPr>
        <w:t>）并</w:t>
      </w:r>
      <w:r>
        <w:rPr>
          <w:sz w:val="21"/>
          <w:szCs w:val="21"/>
        </w:rPr>
        <w:t>加盖投标人单位公章</w:t>
      </w:r>
      <w:r>
        <w:rPr>
          <w:rFonts w:hint="eastAsia" w:ascii="宋体" w:hAnsi="宋体"/>
          <w:sz w:val="21"/>
          <w:szCs w:val="21"/>
        </w:rPr>
        <w:t>。委托代理人签字的，投标文件应附法定代表人签署的授权委托书。投标文件应尽量避免涂改、行间插字或删除。如果出现上述情况，改动之处应由投标人的法定代表人或其委托代理人签字</w:t>
      </w:r>
      <w:r>
        <w:rPr>
          <w:rFonts w:hint="eastAsia"/>
          <w:sz w:val="21"/>
          <w:szCs w:val="21"/>
        </w:rPr>
        <w:t>（或盖</w:t>
      </w:r>
      <w:r>
        <w:rPr>
          <w:sz w:val="21"/>
          <w:szCs w:val="21"/>
        </w:rPr>
        <w:t>章</w:t>
      </w:r>
      <w:r>
        <w:rPr>
          <w:rFonts w:hint="eastAsia"/>
          <w:sz w:val="21"/>
          <w:szCs w:val="21"/>
        </w:rPr>
        <w:t>）并</w:t>
      </w:r>
      <w:r>
        <w:rPr>
          <w:sz w:val="21"/>
          <w:szCs w:val="21"/>
        </w:rPr>
        <w:t>加盖投标人单位公章</w:t>
      </w:r>
      <w:r>
        <w:rPr>
          <w:rFonts w:hint="eastAsia"/>
          <w:sz w:val="21"/>
          <w:szCs w:val="21"/>
        </w:rPr>
        <w:t>确认</w:t>
      </w:r>
      <w:r>
        <w:rPr>
          <w:rFonts w:hint="eastAsia" w:ascii="宋体" w:hAnsi="宋体"/>
          <w:sz w:val="21"/>
          <w:szCs w:val="21"/>
        </w:rPr>
        <w:t>。签字或盖章的具体要求见投标人须知前附表。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b/>
          <w:sz w:val="21"/>
          <w:szCs w:val="21"/>
        </w:rPr>
      </w:pPr>
      <w:r>
        <w:rPr>
          <w:rFonts w:ascii="宋体" w:hAnsi="宋体"/>
          <w:sz w:val="21"/>
          <w:szCs w:val="21"/>
        </w:rPr>
        <w:t>3</w:t>
      </w:r>
      <w:r>
        <w:rPr>
          <w:rFonts w:hint="eastAsia" w:ascii="宋体" w:hAnsi="宋体"/>
          <w:sz w:val="21"/>
          <w:szCs w:val="21"/>
        </w:rPr>
        <w:t>.7.4投标文件正本一份，副本份数见投标人须知前附表。正本和副本的封面上应清楚地标记“正本”或“副本”的字样。当副本和正本不一致时，以正本为准。</w:t>
      </w:r>
      <w:bookmarkStart w:id="114" w:name="_Hlt232655462"/>
      <w:bookmarkEnd w:id="11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.7.5投标文件的正本与副本应分别装订成册，并编制目录，具体装订要求见投标人须知前附表规定。</w:t>
      </w:r>
    </w:p>
    <w:p>
      <w:pPr>
        <w:spacing w:line="360" w:lineRule="auto"/>
        <w:ind w:firstLine="413" w:firstLineChars="196"/>
        <w:rPr>
          <w:rFonts w:hint="default"/>
          <w:b/>
          <w:sz w:val="21"/>
          <w:szCs w:val="21"/>
        </w:rPr>
      </w:pPr>
      <w:bookmarkStart w:id="115" w:name="_Hlt193622730"/>
      <w:bookmarkEnd w:id="115"/>
      <w:bookmarkStart w:id="116" w:name="_Toc235592917"/>
      <w:bookmarkStart w:id="117" w:name="_Toc363035039"/>
      <w:bookmarkStart w:id="118" w:name="_Toc310493330"/>
      <w:bookmarkStart w:id="119" w:name="_Toc193115718"/>
      <w:r>
        <w:rPr>
          <w:b/>
          <w:sz w:val="21"/>
          <w:szCs w:val="21"/>
        </w:rPr>
        <w:t>4.</w:t>
      </w:r>
      <w:bookmarkStart w:id="120" w:name="_Hlt226551452"/>
      <w:bookmarkEnd w:id="120"/>
      <w:r>
        <w:rPr>
          <w:b/>
          <w:sz w:val="21"/>
          <w:szCs w:val="21"/>
        </w:rPr>
        <w:t>投</w:t>
      </w:r>
      <w:bookmarkStart w:id="121" w:name="_Hlt226599224"/>
      <w:bookmarkEnd w:id="121"/>
      <w:r>
        <w:rPr>
          <w:b/>
          <w:sz w:val="21"/>
          <w:szCs w:val="21"/>
        </w:rPr>
        <w:t>标</w:t>
      </w:r>
      <w:bookmarkEnd w:id="116"/>
      <w:bookmarkEnd w:id="117"/>
      <w:bookmarkEnd w:id="118"/>
      <w:bookmarkEnd w:id="119"/>
    </w:p>
    <w:p>
      <w:pPr>
        <w:spacing w:line="360" w:lineRule="auto"/>
        <w:ind w:firstLine="413" w:firstLineChars="196"/>
        <w:rPr>
          <w:rFonts w:hint="default"/>
          <w:b/>
          <w:sz w:val="21"/>
          <w:szCs w:val="21"/>
        </w:rPr>
      </w:pPr>
      <w:bookmarkStart w:id="122" w:name="_Toc193115719"/>
      <w:bookmarkStart w:id="123" w:name="_Toc235592918"/>
      <w:bookmarkStart w:id="124" w:name="_Toc363035040"/>
      <w:r>
        <w:rPr>
          <w:b/>
          <w:sz w:val="21"/>
          <w:szCs w:val="21"/>
        </w:rPr>
        <w:t>4.1投标文件的密封和标</w:t>
      </w:r>
      <w:bookmarkEnd w:id="122"/>
      <w:r>
        <w:rPr>
          <w:b/>
          <w:sz w:val="21"/>
          <w:szCs w:val="21"/>
        </w:rPr>
        <w:t>识</w:t>
      </w:r>
      <w:bookmarkEnd w:id="123"/>
      <w:bookmarkEnd w:id="124"/>
    </w:p>
    <w:p>
      <w:pPr>
        <w:autoSpaceDE w:val="0"/>
        <w:autoSpaceDN w:val="0"/>
        <w:adjustRightInd w:val="0"/>
        <w:snapToGrid w:val="0"/>
        <w:spacing w:line="360" w:lineRule="auto"/>
        <w:ind w:firstLine="420" w:firstLineChars="200"/>
        <w:jc w:val="left"/>
        <w:rPr>
          <w:rFonts w:hint="default"/>
          <w:kern w:val="0"/>
          <w:sz w:val="21"/>
          <w:szCs w:val="21"/>
        </w:rPr>
      </w:pPr>
      <w:bookmarkStart w:id="125" w:name="_Toc193115720"/>
      <w:bookmarkStart w:id="126" w:name="_Toc235592919"/>
      <w:r>
        <w:rPr>
          <w:kern w:val="0"/>
          <w:sz w:val="21"/>
          <w:szCs w:val="21"/>
        </w:rPr>
        <w:t>4.1.1 投标文件的密封：投标人应将投标文件密封后提交。</w:t>
      </w:r>
    </w:p>
    <w:p>
      <w:pPr>
        <w:autoSpaceDE w:val="0"/>
        <w:autoSpaceDN w:val="0"/>
        <w:adjustRightInd w:val="0"/>
        <w:snapToGrid w:val="0"/>
        <w:spacing w:line="360" w:lineRule="auto"/>
        <w:ind w:firstLine="420" w:firstLineChars="200"/>
        <w:jc w:val="left"/>
        <w:rPr>
          <w:rFonts w:hint="default"/>
          <w:kern w:val="0"/>
          <w:sz w:val="21"/>
          <w:szCs w:val="21"/>
        </w:rPr>
      </w:pPr>
      <w:r>
        <w:rPr>
          <w:kern w:val="0"/>
          <w:sz w:val="21"/>
          <w:szCs w:val="21"/>
        </w:rPr>
        <w:t>4.1.2 投标文件的标识：投标文件正、副本密封包装在一起，封套上应清楚地标记“投标文件”字样，并加盖投标人单位公章和法定代表人（或委托代理人）签字（或盖章）。封套上应写明的其他内容见投标人须知前附表及招标文件相应章节的规定。</w:t>
      </w:r>
    </w:p>
    <w:p>
      <w:pPr>
        <w:autoSpaceDE w:val="0"/>
        <w:autoSpaceDN w:val="0"/>
        <w:adjustRightInd w:val="0"/>
        <w:snapToGrid w:val="0"/>
        <w:spacing w:line="360" w:lineRule="auto"/>
        <w:ind w:firstLine="420" w:firstLineChars="200"/>
        <w:jc w:val="left"/>
        <w:rPr>
          <w:rFonts w:hint="default"/>
          <w:kern w:val="0"/>
          <w:sz w:val="21"/>
          <w:szCs w:val="21"/>
        </w:rPr>
      </w:pPr>
      <w:r>
        <w:rPr>
          <w:kern w:val="0"/>
          <w:sz w:val="21"/>
          <w:szCs w:val="21"/>
        </w:rPr>
        <w:t>4.1.3未按本章第4.1.1项要求密封的投标文件，招标人不予受理。未按本章第4.1.2项要求加写标记的投标文件，招标人将不承担投标文件提前开封的责任。由此造成的提前开封的投标文件将予以拒绝或技术标无效，并退还给投标人。</w:t>
      </w:r>
    </w:p>
    <w:p>
      <w:pPr>
        <w:spacing w:line="360" w:lineRule="auto"/>
        <w:ind w:firstLine="413" w:firstLineChars="196"/>
        <w:rPr>
          <w:rFonts w:hint="default"/>
          <w:b/>
          <w:sz w:val="21"/>
          <w:szCs w:val="21"/>
        </w:rPr>
      </w:pPr>
      <w:bookmarkStart w:id="127" w:name="_Toc363035041"/>
      <w:r>
        <w:rPr>
          <w:b/>
          <w:sz w:val="21"/>
          <w:szCs w:val="21"/>
        </w:rPr>
        <w:t>4.2投标文件的递交</w:t>
      </w:r>
      <w:bookmarkEnd w:id="125"/>
      <w:bookmarkEnd w:id="126"/>
      <w:bookmarkEnd w:id="127"/>
    </w:p>
    <w:p>
      <w:pPr>
        <w:adjustRightInd w:val="0"/>
        <w:snapToGrid w:val="0"/>
        <w:spacing w:line="360" w:lineRule="auto"/>
        <w:ind w:firstLine="420" w:firstLineChars="200"/>
        <w:rPr>
          <w:rFonts w:ascii="宋体" w:hAnsi="宋体"/>
          <w:sz w:val="21"/>
          <w:szCs w:val="21"/>
        </w:rPr>
      </w:pPr>
      <w:bookmarkStart w:id="128" w:name="_Toc235592920"/>
      <w:bookmarkStart w:id="129" w:name="_Toc193115721"/>
      <w:r>
        <w:rPr>
          <w:kern w:val="0"/>
          <w:sz w:val="21"/>
          <w:szCs w:val="21"/>
        </w:rPr>
        <w:t>4.2.1</w:t>
      </w:r>
      <w:bookmarkStart w:id="130" w:name="_Hlt232501854"/>
      <w:bookmarkEnd w:id="130"/>
      <w:r>
        <w:rPr>
          <w:rFonts w:hint="eastAsia" w:ascii="宋体" w:hAnsi="宋体"/>
          <w:sz w:val="21"/>
          <w:szCs w:val="21"/>
        </w:rPr>
        <w:t>投标人递交投标文件的地点：见投标人须知前附表。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除投标人须知前附表另有规定外，投标人所递交的投标文件不予退还。</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.2.</w:t>
      </w:r>
      <w:r>
        <w:rPr>
          <w:rFonts w:hint="eastAsia" w:ascii="宋体" w:hAnsi="宋体"/>
          <w:sz w:val="21"/>
          <w:szCs w:val="21"/>
          <w:lang w:val="en-US" w:eastAsia="zh-CN"/>
        </w:rPr>
        <w:t>3</w:t>
      </w:r>
      <w:r>
        <w:rPr>
          <w:rFonts w:hint="eastAsia" w:ascii="宋体" w:hAnsi="宋体"/>
          <w:sz w:val="21"/>
          <w:szCs w:val="21"/>
        </w:rPr>
        <w:t>逾期送达或者未送达指定地点的投标文件，招标人和招标代理机构不予受理。</w:t>
      </w:r>
    </w:p>
    <w:p>
      <w:pPr>
        <w:spacing w:line="360" w:lineRule="auto"/>
        <w:ind w:firstLine="413" w:firstLineChars="196"/>
        <w:rPr>
          <w:rFonts w:hint="default"/>
          <w:b/>
          <w:sz w:val="21"/>
          <w:szCs w:val="21"/>
        </w:rPr>
      </w:pPr>
      <w:bookmarkStart w:id="131" w:name="_Toc363035042"/>
      <w:r>
        <w:rPr>
          <w:b/>
          <w:sz w:val="21"/>
          <w:szCs w:val="21"/>
        </w:rPr>
        <w:t>4.3投标文件的修改与撤回</w:t>
      </w:r>
      <w:bookmarkEnd w:id="128"/>
      <w:bookmarkEnd w:id="129"/>
      <w:bookmarkEnd w:id="13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.3.1在投标人须知前附表规定的投标截止时间前，投标人可以修改或撤回已递交的投标文件，但应以书面形式通知招标人。</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.3.2投标人修改或撤回已递交投标文件的书面通知应按照本章第3.7.3项的要求签字或盖章。招标人收到书面通知后，向投标人出具签收凭证。</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.3.3修改的内容为投标文件的组成部分。修改的投标文件应按照本章第</w:t>
      </w:r>
      <w:r>
        <w:rPr>
          <w:rFonts w:ascii="宋体" w:hAnsi="宋体"/>
          <w:sz w:val="21"/>
          <w:szCs w:val="21"/>
        </w:rPr>
        <w:t>3</w:t>
      </w:r>
      <w:r>
        <w:rPr>
          <w:rFonts w:hint="eastAsia" w:ascii="宋体" w:hAnsi="宋体"/>
          <w:sz w:val="21"/>
          <w:szCs w:val="21"/>
        </w:rPr>
        <w:t>条、第</w:t>
      </w:r>
      <w:r>
        <w:rPr>
          <w:rFonts w:ascii="宋体" w:hAnsi="宋体"/>
          <w:sz w:val="21"/>
          <w:szCs w:val="21"/>
        </w:rPr>
        <w:t>4</w:t>
      </w:r>
      <w:r>
        <w:rPr>
          <w:rFonts w:hint="eastAsia" w:ascii="宋体" w:hAnsi="宋体"/>
          <w:sz w:val="21"/>
          <w:szCs w:val="21"/>
        </w:rPr>
        <w:t>条规定进行编制、密封、标记和递交，并标明“修改”字样。</w:t>
      </w:r>
    </w:p>
    <w:p>
      <w:pPr>
        <w:spacing w:line="360" w:lineRule="auto"/>
        <w:ind w:firstLine="413" w:firstLineChars="196"/>
        <w:rPr>
          <w:rFonts w:hint="default"/>
          <w:b/>
          <w:sz w:val="21"/>
          <w:szCs w:val="21"/>
        </w:rPr>
      </w:pPr>
      <w:bookmarkStart w:id="132" w:name="_Toc193115722"/>
      <w:bookmarkStart w:id="133" w:name="_Toc363035043"/>
      <w:bookmarkStart w:id="134" w:name="_Toc235592921"/>
      <w:bookmarkStart w:id="135" w:name="_Toc310493331"/>
      <w:r>
        <w:rPr>
          <w:b/>
          <w:sz w:val="21"/>
          <w:szCs w:val="21"/>
        </w:rPr>
        <w:t>5.开标</w:t>
      </w:r>
      <w:bookmarkEnd w:id="132"/>
      <w:bookmarkEnd w:id="133"/>
      <w:bookmarkEnd w:id="134"/>
      <w:bookmarkEnd w:id="135"/>
    </w:p>
    <w:p>
      <w:pPr>
        <w:spacing w:line="360" w:lineRule="auto"/>
        <w:ind w:firstLine="413" w:firstLineChars="196"/>
        <w:rPr>
          <w:rFonts w:hint="default"/>
          <w:bCs/>
          <w:sz w:val="21"/>
          <w:szCs w:val="21"/>
        </w:rPr>
      </w:pPr>
      <w:bookmarkStart w:id="136" w:name="_Hlt226620845"/>
      <w:bookmarkEnd w:id="136"/>
      <w:bookmarkStart w:id="137" w:name="_Hlt226620852"/>
      <w:bookmarkEnd w:id="137"/>
      <w:bookmarkStart w:id="138" w:name="_Toc363035044"/>
      <w:bookmarkStart w:id="139" w:name="_Toc235592922"/>
      <w:bookmarkStart w:id="140" w:name="_Toc193115723"/>
      <w:r>
        <w:rPr>
          <w:b/>
          <w:sz w:val="21"/>
          <w:szCs w:val="21"/>
        </w:rPr>
        <w:t>5.1开标时间和地点</w:t>
      </w:r>
      <w:bookmarkEnd w:id="138"/>
      <w:bookmarkEnd w:id="139"/>
      <w:bookmarkEnd w:id="140"/>
    </w:p>
    <w:p>
      <w:pPr>
        <w:pStyle w:val="16"/>
        <w:widowControl w:val="0"/>
        <w:adjustRightInd w:val="0"/>
        <w:snapToGrid w:val="0"/>
        <w:spacing w:before="0" w:beforeAutospacing="0" w:after="0" w:afterAutospacing="0" w:line="360" w:lineRule="auto"/>
        <w:ind w:firstLine="420" w:firstLineChars="200"/>
        <w:rPr>
          <w:sz w:val="21"/>
          <w:szCs w:val="21"/>
        </w:rPr>
      </w:pPr>
      <w:bookmarkStart w:id="141" w:name="_Toc193115724"/>
      <w:bookmarkStart w:id="142" w:name="_Toc235592923"/>
      <w:r>
        <w:rPr>
          <w:rFonts w:ascii="宋体" w:hAnsi="宋体"/>
          <w:bCs/>
          <w:sz w:val="21"/>
          <w:szCs w:val="21"/>
        </w:rPr>
        <w:t>招标人在投标人须知前附表规定的开标时间和地点公开开标。本项目召开开标会议时，投标人必须派法定代表人持法定代表人证明资料原件或其授权委托代理人持授权委托书（授权委托书须由法定代表人亲笔签名）及本人身份证原件、《投标承诺书》原件、投标文件准时参加。如法定代表人作为项目负责人</w:t>
      </w:r>
      <w:r>
        <w:rPr>
          <w:rFonts w:hint="eastAsia" w:ascii="宋体" w:hAnsi="宋体"/>
          <w:bCs/>
          <w:sz w:val="21"/>
          <w:szCs w:val="21"/>
        </w:rPr>
        <w:t>只需提供法定代表人身份证明原件</w:t>
      </w:r>
      <w:r>
        <w:rPr>
          <w:rFonts w:ascii="宋体" w:hAnsi="宋体"/>
          <w:bCs/>
          <w:sz w:val="21"/>
          <w:szCs w:val="21"/>
        </w:rPr>
        <w:t>。</w:t>
      </w:r>
    </w:p>
    <w:p>
      <w:pPr>
        <w:pStyle w:val="16"/>
        <w:widowControl w:val="0"/>
        <w:adjustRightInd w:val="0"/>
        <w:snapToGrid w:val="0"/>
        <w:spacing w:before="0" w:beforeAutospacing="0" w:after="0" w:afterAutospacing="0" w:line="360" w:lineRule="auto"/>
        <w:ind w:firstLine="420" w:firstLineChars="200"/>
        <w:rPr>
          <w:b/>
          <w:sz w:val="21"/>
          <w:szCs w:val="21"/>
        </w:rPr>
      </w:pPr>
      <w:r>
        <w:rPr>
          <w:sz w:val="21"/>
          <w:szCs w:val="21"/>
        </w:rPr>
        <w:t>不符合上述要求的，投标文件将被拒绝。</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5.2 投标文件有下列情形之一的，招标人不予受理：</w:t>
      </w:r>
    </w:p>
    <w:p>
      <w:pPr>
        <w:adjustRightInd w:val="0"/>
        <w:snapToGrid w:val="0"/>
        <w:spacing w:line="360" w:lineRule="auto"/>
        <w:ind w:firstLine="420" w:firstLineChars="200"/>
        <w:rPr>
          <w:rFonts w:hint="default"/>
          <w:sz w:val="21"/>
          <w:szCs w:val="21"/>
        </w:rPr>
      </w:pPr>
      <w:r>
        <w:rPr>
          <w:sz w:val="21"/>
          <w:szCs w:val="21"/>
        </w:rPr>
        <w:t>5.2.1逾期送达的或者未送达指定地点的；</w:t>
      </w:r>
    </w:p>
    <w:p>
      <w:pPr>
        <w:adjustRightInd w:val="0"/>
        <w:snapToGrid w:val="0"/>
        <w:spacing w:line="360" w:lineRule="auto"/>
        <w:ind w:firstLine="420" w:firstLineChars="200"/>
        <w:rPr>
          <w:rFonts w:hint="default"/>
          <w:sz w:val="21"/>
          <w:szCs w:val="21"/>
        </w:rPr>
      </w:pPr>
      <w:r>
        <w:rPr>
          <w:sz w:val="21"/>
          <w:szCs w:val="21"/>
        </w:rPr>
        <w:t>5.2.2未按招标文件要求密封的；</w:t>
      </w:r>
    </w:p>
    <w:p>
      <w:pPr>
        <w:adjustRightInd w:val="0"/>
        <w:snapToGrid w:val="0"/>
        <w:spacing w:line="360" w:lineRule="auto"/>
        <w:ind w:firstLine="420" w:firstLineChars="200"/>
        <w:rPr>
          <w:rFonts w:hint="default"/>
          <w:sz w:val="21"/>
          <w:szCs w:val="21"/>
        </w:rPr>
      </w:pPr>
      <w:r>
        <w:rPr>
          <w:sz w:val="21"/>
          <w:szCs w:val="21"/>
        </w:rPr>
        <w:t>5.2.3未按5.1条要求参加开标的。</w:t>
      </w:r>
    </w:p>
    <w:p>
      <w:pPr>
        <w:spacing w:line="360" w:lineRule="auto"/>
        <w:ind w:firstLine="413" w:firstLineChars="196"/>
        <w:rPr>
          <w:rFonts w:hint="default"/>
          <w:b/>
          <w:sz w:val="21"/>
          <w:szCs w:val="21"/>
        </w:rPr>
      </w:pPr>
      <w:bookmarkStart w:id="143" w:name="_Toc363035045"/>
      <w:r>
        <w:rPr>
          <w:b/>
          <w:sz w:val="21"/>
          <w:szCs w:val="21"/>
        </w:rPr>
        <w:t>5.3开标程序</w:t>
      </w:r>
      <w:bookmarkEnd w:id="141"/>
      <w:bookmarkEnd w:id="142"/>
      <w:bookmarkEnd w:id="143"/>
    </w:p>
    <w:p>
      <w:pPr>
        <w:pStyle w:val="16"/>
        <w:widowControl w:val="0"/>
        <w:adjustRightInd w:val="0"/>
        <w:snapToGrid w:val="0"/>
        <w:spacing w:before="0" w:beforeAutospacing="0" w:after="0" w:afterAutospacing="0" w:line="360" w:lineRule="auto"/>
        <w:ind w:firstLine="420" w:firstLineChars="200"/>
        <w:rPr>
          <w:rFonts w:ascii="宋体" w:hAnsi="宋体"/>
          <w:kern w:val="2"/>
          <w:sz w:val="21"/>
          <w:szCs w:val="21"/>
        </w:rPr>
      </w:pPr>
      <w:r>
        <w:rPr>
          <w:rFonts w:hint="eastAsia" w:ascii="宋体" w:hAnsi="宋体"/>
          <w:kern w:val="2"/>
          <w:sz w:val="21"/>
          <w:szCs w:val="21"/>
        </w:rPr>
        <w:t>主持人按下列程序进行开标：</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（1）宣布开、评标纪律；</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（2）公布在投标截止时间前递交投标文件的投标人名称，并点名确认投标人是否派人到场；</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（3）介绍到会招标人领导、行政监管领导、纪检领导，宣布开标人、唱标人、记录人等有关人员名单；</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（4）核验各投标人代表的合法身份（</w:t>
      </w:r>
      <w:r>
        <w:rPr>
          <w:rFonts w:hint="eastAsia" w:ascii="宋体" w:hAnsi="宋体"/>
          <w:sz w:val="21"/>
          <w:szCs w:val="21"/>
          <w:u w:val="single"/>
        </w:rPr>
        <w:t>法定代表人身份证明资料原件或授权委托书原件及其本人身份证原件和《投标承诺书》原件</w:t>
      </w:r>
      <w:r>
        <w:rPr>
          <w:rFonts w:hint="eastAsia"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（5）按照投标人须知前附表规定检查投标文件的密封情况；</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（6）按照投标人须知前附表的规定确定并宣布投标文件开标顺序；</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（7）按照宣布的开标顺序当众开标，公布投标人名称、标段名称、、投标报价、质量目标、造价咨询服务期、项目负责人情况及其他内容，并记录在案；</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（8）</w:t>
      </w:r>
      <w:r>
        <w:rPr>
          <w:rFonts w:hint="eastAsia" w:ascii="宋体" w:hAnsi="宋体"/>
          <w:spacing w:val="-4"/>
          <w:sz w:val="21"/>
          <w:szCs w:val="21"/>
        </w:rPr>
        <w:t>投标人</w:t>
      </w:r>
      <w:r>
        <w:rPr>
          <w:rFonts w:hint="eastAsia" w:ascii="宋体" w:hAnsi="宋体"/>
          <w:sz w:val="21"/>
          <w:szCs w:val="21"/>
        </w:rPr>
        <w:t>代表</w:t>
      </w:r>
      <w:r>
        <w:rPr>
          <w:rFonts w:hint="eastAsia" w:ascii="宋体" w:hAnsi="宋体"/>
          <w:spacing w:val="-4"/>
          <w:sz w:val="21"/>
          <w:szCs w:val="21"/>
        </w:rPr>
        <w:t>、招标人代表、监督人、记录人等有关人员在开标记录上签字确认</w:t>
      </w:r>
      <w:r>
        <w:rPr>
          <w:rFonts w:hint="eastAsia"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（9）开标结束。</w:t>
      </w:r>
    </w:p>
    <w:p>
      <w:pPr>
        <w:spacing w:line="360" w:lineRule="auto"/>
        <w:ind w:firstLine="413" w:firstLineChars="196"/>
        <w:rPr>
          <w:rFonts w:hint="default"/>
          <w:b/>
          <w:sz w:val="21"/>
          <w:szCs w:val="21"/>
        </w:rPr>
      </w:pPr>
      <w:bookmarkStart w:id="144" w:name="_Toc363035046"/>
      <w:bookmarkStart w:id="145" w:name="_Toc193115725"/>
      <w:bookmarkStart w:id="146" w:name="_Toc310493332"/>
      <w:bookmarkStart w:id="147" w:name="_Toc235592924"/>
      <w:r>
        <w:rPr>
          <w:b/>
          <w:sz w:val="21"/>
          <w:szCs w:val="21"/>
        </w:rPr>
        <w:t>6.评标</w:t>
      </w:r>
      <w:bookmarkEnd w:id="144"/>
      <w:bookmarkEnd w:id="145"/>
      <w:bookmarkEnd w:id="146"/>
      <w:bookmarkEnd w:id="147"/>
    </w:p>
    <w:p>
      <w:pPr>
        <w:spacing w:line="360" w:lineRule="auto"/>
        <w:ind w:firstLine="413" w:firstLineChars="196"/>
        <w:rPr>
          <w:rFonts w:hint="default"/>
          <w:b/>
          <w:sz w:val="21"/>
          <w:szCs w:val="21"/>
        </w:rPr>
      </w:pPr>
      <w:bookmarkStart w:id="148" w:name="_Toc235592925"/>
      <w:bookmarkStart w:id="149" w:name="_Toc193115726"/>
      <w:bookmarkStart w:id="150" w:name="_Toc363035047"/>
      <w:r>
        <w:rPr>
          <w:b/>
          <w:sz w:val="21"/>
          <w:szCs w:val="21"/>
        </w:rPr>
        <w:t>6.1评标委员会</w:t>
      </w:r>
      <w:bookmarkEnd w:id="148"/>
      <w:bookmarkEnd w:id="149"/>
      <w:bookmarkEnd w:id="15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1.1评标由招标人依法组建的评标委员会负责。评标委员会在专家库中随机抽取的有关技术、工程造价类等方面的专家组成。评标委员会成员人数以及技术、工程造价类等方面专家的确定方式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.1.2评标委员会成员有下列情形之一的，应当回避：</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（1）招标人或投标人的主要负责人的近亲属；</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（2）项目主管部门或者行政监督部门的人员；</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（3）与投标人有经济利益关系，可能影响对投标公正评审的；</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（4）曾因在招标、评标以及其他与招标投标有关活动中从事违法行为而受过行政处罚或刑事处罚的。</w:t>
      </w:r>
    </w:p>
    <w:p>
      <w:pPr>
        <w:spacing w:line="360" w:lineRule="auto"/>
        <w:ind w:firstLine="413" w:firstLineChars="196"/>
        <w:rPr>
          <w:rFonts w:hint="default"/>
          <w:b/>
          <w:sz w:val="21"/>
          <w:szCs w:val="21"/>
        </w:rPr>
      </w:pPr>
      <w:bookmarkStart w:id="151" w:name="_Toc193115727"/>
      <w:bookmarkStart w:id="152" w:name="_Toc235592926"/>
      <w:bookmarkStart w:id="153" w:name="_Toc363035048"/>
      <w:r>
        <w:rPr>
          <w:b/>
          <w:sz w:val="21"/>
          <w:szCs w:val="21"/>
        </w:rPr>
        <w:t>6.2评标原则</w:t>
      </w:r>
      <w:bookmarkEnd w:id="151"/>
      <w:bookmarkEnd w:id="152"/>
      <w:bookmarkEnd w:id="153"/>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评标活动遵循公平、公正、科学和择优的原则。</w:t>
      </w:r>
    </w:p>
    <w:p>
      <w:pPr>
        <w:spacing w:line="360" w:lineRule="auto"/>
        <w:ind w:firstLine="413" w:firstLineChars="196"/>
        <w:rPr>
          <w:rFonts w:hint="default"/>
          <w:b/>
          <w:sz w:val="21"/>
          <w:szCs w:val="21"/>
        </w:rPr>
      </w:pPr>
      <w:bookmarkStart w:id="154" w:name="_Toc193115728"/>
      <w:bookmarkStart w:id="155" w:name="_Toc363035049"/>
      <w:bookmarkStart w:id="156" w:name="_Toc235592927"/>
      <w:r>
        <w:rPr>
          <w:b/>
          <w:sz w:val="21"/>
          <w:szCs w:val="21"/>
        </w:rPr>
        <w:t>6.3评标</w:t>
      </w:r>
      <w:bookmarkEnd w:id="154"/>
      <w:bookmarkEnd w:id="155"/>
      <w:bookmarkEnd w:id="156"/>
    </w:p>
    <w:p>
      <w:pPr>
        <w:pStyle w:val="16"/>
        <w:widowControl w:val="0"/>
        <w:adjustRightInd w:val="0"/>
        <w:snapToGrid w:val="0"/>
        <w:spacing w:before="0" w:beforeAutospacing="0" w:after="0" w:afterAutospacing="0" w:line="360" w:lineRule="auto"/>
        <w:ind w:firstLine="420" w:firstLineChars="200"/>
        <w:rPr>
          <w:rFonts w:ascii="宋体" w:hAnsi="宋体"/>
          <w:b/>
          <w:sz w:val="21"/>
          <w:szCs w:val="21"/>
        </w:rPr>
      </w:pPr>
      <w:r>
        <w:rPr>
          <w:rFonts w:hint="eastAsia" w:ascii="宋体" w:hAnsi="宋体"/>
          <w:sz w:val="21"/>
          <w:szCs w:val="21"/>
        </w:rPr>
        <w:t>6.3.1评标委员会按照第三章“评标办法”规定的方法、评审因素、标准和程序对投标文件进行评审。</w:t>
      </w:r>
      <w:r>
        <w:rPr>
          <w:rFonts w:hint="eastAsia" w:ascii="宋体" w:hAnsi="宋体"/>
          <w:b/>
          <w:sz w:val="21"/>
          <w:szCs w:val="21"/>
        </w:rPr>
        <w:t>评审程序为：首先对投标人进行资格后审（见附表），然后对资格后审合格的投标文件进行评审。</w:t>
      </w:r>
    </w:p>
    <w:p>
      <w:pPr>
        <w:spacing w:line="360" w:lineRule="auto"/>
        <w:ind w:firstLine="413" w:firstLineChars="196"/>
        <w:rPr>
          <w:rFonts w:hint="default"/>
          <w:b/>
          <w:sz w:val="21"/>
          <w:szCs w:val="21"/>
        </w:rPr>
      </w:pPr>
      <w:bookmarkStart w:id="157" w:name="_Toc363035050"/>
      <w:r>
        <w:rPr>
          <w:b/>
          <w:sz w:val="21"/>
          <w:szCs w:val="21"/>
        </w:rPr>
        <w:t>6.4投标文件有下列情形之一的，由评标委员会初审后否决其投标：</w:t>
      </w:r>
      <w:bookmarkEnd w:id="157"/>
    </w:p>
    <w:p>
      <w:pPr>
        <w:pStyle w:val="3"/>
        <w:adjustRightInd w:val="0"/>
        <w:snapToGrid w:val="0"/>
        <w:ind w:firstLine="420"/>
        <w:rPr>
          <w:sz w:val="21"/>
          <w:szCs w:val="21"/>
        </w:rPr>
      </w:pPr>
      <w:r>
        <w:rPr>
          <w:sz w:val="21"/>
          <w:szCs w:val="21"/>
        </w:rPr>
        <w:t>（1）无单位盖章并无法定代表人或委托代理人签字的；</w:t>
      </w:r>
    </w:p>
    <w:p>
      <w:pPr>
        <w:pStyle w:val="3"/>
        <w:adjustRightInd w:val="0"/>
        <w:snapToGrid w:val="0"/>
        <w:ind w:firstLine="420"/>
        <w:rPr>
          <w:sz w:val="21"/>
          <w:szCs w:val="21"/>
        </w:rPr>
      </w:pPr>
      <w:r>
        <w:rPr>
          <w:sz w:val="21"/>
          <w:szCs w:val="21"/>
        </w:rPr>
        <w:t>（2）投标人递交两份或多份内容不同的投标文件，或在一份投标文件中对同一招标项目报有两个或多个报价，且未声明哪一个有效的；</w:t>
      </w:r>
    </w:p>
    <w:p>
      <w:pPr>
        <w:pStyle w:val="3"/>
        <w:adjustRightInd w:val="0"/>
        <w:snapToGrid w:val="0"/>
        <w:ind w:firstLine="420"/>
        <w:rPr>
          <w:sz w:val="21"/>
          <w:szCs w:val="21"/>
        </w:rPr>
      </w:pPr>
      <w:r>
        <w:rPr>
          <w:sz w:val="21"/>
          <w:szCs w:val="21"/>
        </w:rPr>
        <w:t>（3）投标人名称与资格后审不一致的；</w:t>
      </w:r>
    </w:p>
    <w:p>
      <w:pPr>
        <w:pStyle w:val="3"/>
        <w:adjustRightInd w:val="0"/>
        <w:snapToGrid w:val="0"/>
        <w:ind w:firstLine="420"/>
        <w:rPr>
          <w:sz w:val="21"/>
          <w:szCs w:val="21"/>
        </w:rPr>
      </w:pPr>
      <w:r>
        <w:rPr>
          <w:sz w:val="21"/>
          <w:szCs w:val="21"/>
        </w:rPr>
        <w:t>（4）未按招标文件要求提交投标保证金的；</w:t>
      </w:r>
    </w:p>
    <w:p>
      <w:pPr>
        <w:pStyle w:val="3"/>
        <w:adjustRightInd w:val="0"/>
        <w:snapToGrid w:val="0"/>
        <w:ind w:firstLine="420"/>
        <w:rPr>
          <w:sz w:val="21"/>
          <w:szCs w:val="21"/>
        </w:rPr>
      </w:pPr>
      <w:r>
        <w:rPr>
          <w:sz w:val="21"/>
          <w:szCs w:val="21"/>
        </w:rPr>
        <w:t>（5）法律法规中规定的其他</w:t>
      </w:r>
      <w:r>
        <w:rPr>
          <w:rFonts w:hint="eastAsia"/>
          <w:sz w:val="21"/>
          <w:szCs w:val="21"/>
        </w:rPr>
        <w:t>否决投标</w:t>
      </w:r>
      <w:r>
        <w:rPr>
          <w:sz w:val="21"/>
          <w:szCs w:val="21"/>
        </w:rPr>
        <w:t>情况。</w:t>
      </w:r>
    </w:p>
    <w:p>
      <w:pPr>
        <w:spacing w:line="360" w:lineRule="auto"/>
        <w:ind w:firstLine="413" w:firstLineChars="196"/>
        <w:rPr>
          <w:rFonts w:hint="default"/>
          <w:b/>
          <w:sz w:val="21"/>
          <w:szCs w:val="21"/>
        </w:rPr>
      </w:pPr>
      <w:bookmarkStart w:id="158" w:name="_Toc363035051"/>
      <w:bookmarkStart w:id="159" w:name="_Toc235592928"/>
      <w:bookmarkStart w:id="160" w:name="_Toc310493333"/>
      <w:bookmarkStart w:id="161" w:name="_Toc193115729"/>
      <w:r>
        <w:rPr>
          <w:b/>
          <w:sz w:val="21"/>
          <w:szCs w:val="21"/>
        </w:rPr>
        <w:t>7.合同授予</w:t>
      </w:r>
      <w:bookmarkEnd w:id="158"/>
      <w:bookmarkEnd w:id="159"/>
      <w:bookmarkEnd w:id="160"/>
      <w:bookmarkEnd w:id="161"/>
    </w:p>
    <w:p>
      <w:pPr>
        <w:spacing w:line="360" w:lineRule="auto"/>
        <w:ind w:firstLine="413" w:firstLineChars="196"/>
        <w:rPr>
          <w:rFonts w:hint="default"/>
          <w:b/>
          <w:sz w:val="21"/>
          <w:szCs w:val="21"/>
        </w:rPr>
      </w:pPr>
      <w:bookmarkStart w:id="162" w:name="_Toc363035052"/>
      <w:bookmarkStart w:id="163" w:name="_Toc193115730"/>
      <w:bookmarkStart w:id="164" w:name="_Toc235592929"/>
      <w:r>
        <w:rPr>
          <w:b/>
          <w:sz w:val="21"/>
          <w:szCs w:val="21"/>
        </w:rPr>
        <w:t>7.1定标方式</w:t>
      </w:r>
      <w:bookmarkEnd w:id="162"/>
      <w:bookmarkEnd w:id="163"/>
      <w:bookmarkEnd w:id="16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7.1.1由评标委员会提交书面评标报告并推荐</w:t>
      </w:r>
      <w:bookmarkStart w:id="165" w:name="_Hlt226624002"/>
      <w:bookmarkEnd w:id="165"/>
      <w:r>
        <w:rPr>
          <w:rFonts w:hint="eastAsia" w:ascii="宋体" w:hAnsi="宋体"/>
          <w:sz w:val="21"/>
          <w:szCs w:val="21"/>
          <w:lang w:val="en-US" w:eastAsia="zh-CN"/>
        </w:rPr>
        <w:t>3</w:t>
      </w:r>
      <w:r>
        <w:rPr>
          <w:rFonts w:hint="eastAsia" w:ascii="宋体" w:hAnsi="宋体"/>
          <w:sz w:val="21"/>
          <w:szCs w:val="21"/>
        </w:rPr>
        <w:t>名中标候选人，同时标明排列顺序。招标人应当在评标委员会推荐的中标候选人中确定中标人</w:t>
      </w:r>
      <w:r>
        <w:rPr>
          <w:rFonts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7.1.2招标人应当自收到评标报告和推荐中标候选人名单之日起，对推荐的中标候选人进行公示三个工作日。招标人应当在公示期满后确定中标人。评标和定标应当在开标后三十日内完成，不能按期完成的，招标人应当通知所有投标人延长期限。投标人拒绝延长的，有权</w:t>
      </w:r>
      <w:r>
        <w:rPr>
          <w:rFonts w:hint="eastAsia" w:ascii="宋体" w:hAnsi="宋体"/>
          <w:sz w:val="21"/>
          <w:szCs w:val="21"/>
          <w:lang w:eastAsia="zh-CN"/>
        </w:rPr>
        <w:t>取消</w:t>
      </w:r>
      <w:r>
        <w:rPr>
          <w:rFonts w:hint="eastAsia" w:ascii="宋体" w:hAnsi="宋体"/>
          <w:sz w:val="21"/>
          <w:szCs w:val="21"/>
        </w:rPr>
        <w:t>候选人资格。</w:t>
      </w:r>
    </w:p>
    <w:p>
      <w:pPr>
        <w:pStyle w:val="16"/>
        <w:widowControl w:val="0"/>
        <w:adjustRightInd w:val="0"/>
        <w:snapToGrid w:val="0"/>
        <w:spacing w:before="0" w:beforeAutospacing="0" w:after="0" w:afterAutospacing="0" w:line="360" w:lineRule="auto"/>
        <w:ind w:firstLine="420" w:firstLineChars="200"/>
        <w:rPr>
          <w:rFonts w:hint="eastAsia" w:ascii="宋体" w:hAnsi="宋体" w:eastAsia="宋体"/>
          <w:sz w:val="21"/>
          <w:szCs w:val="21"/>
          <w:lang w:eastAsia="zh-CN"/>
        </w:rPr>
      </w:pPr>
      <w:bookmarkStart w:id="166" w:name="_Toc193115731"/>
      <w:bookmarkStart w:id="167" w:name="_Toc235592930"/>
      <w:r>
        <w:rPr>
          <w:rFonts w:hint="eastAsia" w:ascii="宋体" w:hAnsi="宋体"/>
          <w:sz w:val="21"/>
          <w:szCs w:val="21"/>
        </w:rPr>
        <w:t>7.1.3国有资金占控股或者主导地位的依法必须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olor w:val="FF0000"/>
          <w:sz w:val="21"/>
          <w:szCs w:val="21"/>
          <w:lang w:eastAsia="zh-CN"/>
        </w:rPr>
        <w:t>本项目将确定排名第一和第二的中标候选人为中标人。</w:t>
      </w:r>
    </w:p>
    <w:p>
      <w:pPr>
        <w:spacing w:line="360" w:lineRule="auto"/>
        <w:ind w:firstLine="413" w:firstLineChars="196"/>
        <w:rPr>
          <w:rFonts w:hint="default"/>
          <w:b/>
          <w:sz w:val="21"/>
          <w:szCs w:val="21"/>
        </w:rPr>
      </w:pPr>
      <w:bookmarkStart w:id="168" w:name="_Toc363035053"/>
      <w:r>
        <w:rPr>
          <w:b/>
          <w:sz w:val="21"/>
          <w:szCs w:val="21"/>
        </w:rPr>
        <w:t>7.2中标通知</w:t>
      </w:r>
      <w:bookmarkEnd w:id="166"/>
      <w:bookmarkEnd w:id="167"/>
      <w:bookmarkEnd w:id="16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169" w:name="_Toc235592931"/>
      <w:bookmarkStart w:id="170" w:name="_Toc193115732"/>
      <w:r>
        <w:rPr>
          <w:rFonts w:hint="eastAsia" w:ascii="宋体" w:hAnsi="宋体"/>
          <w:sz w:val="21"/>
          <w:szCs w:val="21"/>
        </w:rPr>
        <w:t>在投标人须知前附表规定的投标有效期内，招标人以书面形式向中标人发出中标通知书，同时将中标结果通知未中标的投标人。</w:t>
      </w:r>
    </w:p>
    <w:bookmarkEnd w:id="169"/>
    <w:bookmarkEnd w:id="170"/>
    <w:p>
      <w:pPr>
        <w:spacing w:line="360" w:lineRule="auto"/>
        <w:ind w:firstLine="413" w:firstLineChars="196"/>
        <w:rPr>
          <w:rFonts w:hint="default"/>
          <w:b/>
          <w:sz w:val="21"/>
          <w:szCs w:val="21"/>
        </w:rPr>
      </w:pPr>
      <w:bookmarkStart w:id="171" w:name="_Toc363035055"/>
      <w:bookmarkStart w:id="172" w:name="_Toc193115733"/>
      <w:bookmarkStart w:id="173" w:name="_Toc235592932"/>
      <w:r>
        <w:rPr>
          <w:b/>
          <w:sz w:val="21"/>
          <w:szCs w:val="21"/>
        </w:rPr>
        <w:t>7.3签订合同</w:t>
      </w:r>
      <w:bookmarkEnd w:id="171"/>
      <w:bookmarkEnd w:id="172"/>
      <w:bookmarkEnd w:id="173"/>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ascii="宋体" w:hAnsi="宋体"/>
          <w:sz w:val="21"/>
          <w:szCs w:val="21"/>
        </w:rPr>
        <w:t>7</w:t>
      </w:r>
      <w:r>
        <w:rPr>
          <w:rFonts w:hint="eastAsia" w:ascii="宋体" w:hAnsi="宋体"/>
          <w:sz w:val="21"/>
          <w:szCs w:val="21"/>
        </w:rPr>
        <w:t>.3.1招标人和中标人应当自中标通知书发出之日起</w:t>
      </w:r>
      <w:r>
        <w:rPr>
          <w:rFonts w:ascii="宋体" w:hAnsi="宋体"/>
          <w:sz w:val="21"/>
          <w:szCs w:val="21"/>
        </w:rPr>
        <w:t>30</w:t>
      </w:r>
      <w:r>
        <w:rPr>
          <w:rFonts w:hint="eastAsia" w:ascii="宋体" w:hAnsi="宋体"/>
          <w:sz w:val="21"/>
          <w:szCs w:val="21"/>
        </w:rPr>
        <w:t>天内，根据招标文件和中标人的投标文件订立书面合同。中标人无正当理由拒签合同的，招标人取消其中标资格；给招标人造成的损失超过投标保证金数额的，中标人还应当予以赔偿。</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ascii="宋体" w:hAnsi="宋体"/>
          <w:sz w:val="21"/>
          <w:szCs w:val="21"/>
        </w:rPr>
        <w:t>7</w:t>
      </w:r>
      <w:r>
        <w:rPr>
          <w:rFonts w:hint="eastAsia" w:ascii="宋体" w:hAnsi="宋体"/>
          <w:sz w:val="21"/>
          <w:szCs w:val="21"/>
        </w:rPr>
        <w:t>.3.2发出中标通知书后，招标人无正当理由拒签合同的，给中标人造成损失的，还应当赔偿损失。</w:t>
      </w:r>
    </w:p>
    <w:p>
      <w:pPr>
        <w:spacing w:line="360" w:lineRule="auto"/>
        <w:ind w:firstLine="413" w:firstLineChars="196"/>
        <w:rPr>
          <w:rFonts w:hint="default"/>
          <w:b/>
          <w:sz w:val="21"/>
          <w:szCs w:val="21"/>
        </w:rPr>
      </w:pPr>
      <w:bookmarkStart w:id="174" w:name="_Toc363035056"/>
      <w:bookmarkStart w:id="175" w:name="_Toc235592933"/>
      <w:bookmarkStart w:id="176" w:name="_Toc193115734"/>
      <w:bookmarkStart w:id="177" w:name="_Toc310493334"/>
      <w:r>
        <w:rPr>
          <w:b/>
          <w:sz w:val="21"/>
          <w:szCs w:val="21"/>
        </w:rPr>
        <w:t>8. 重新招标和不再招标</w:t>
      </w:r>
      <w:bookmarkEnd w:id="174"/>
      <w:bookmarkEnd w:id="175"/>
      <w:bookmarkEnd w:id="176"/>
      <w:bookmarkEnd w:id="177"/>
    </w:p>
    <w:p>
      <w:pPr>
        <w:spacing w:line="360" w:lineRule="auto"/>
        <w:ind w:firstLine="413" w:firstLineChars="196"/>
        <w:rPr>
          <w:rFonts w:hint="default"/>
          <w:b/>
          <w:sz w:val="21"/>
          <w:szCs w:val="21"/>
        </w:rPr>
      </w:pPr>
      <w:bookmarkStart w:id="178" w:name="_Toc193115735"/>
      <w:bookmarkStart w:id="179" w:name="_Toc235592934"/>
      <w:bookmarkStart w:id="180" w:name="_Toc363035057"/>
      <w:r>
        <w:rPr>
          <w:b/>
          <w:sz w:val="21"/>
          <w:szCs w:val="21"/>
        </w:rPr>
        <w:t>8.1重新招标</w:t>
      </w:r>
      <w:bookmarkEnd w:id="178"/>
      <w:bookmarkEnd w:id="179"/>
      <w:bookmarkEnd w:id="180"/>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有下列情形之一的，招标人将重新招标：</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（1）投标截止时间止，投标人少于</w:t>
      </w:r>
      <w:r>
        <w:rPr>
          <w:rFonts w:hint="eastAsia" w:ascii="宋体" w:hAnsi="宋体"/>
          <w:sz w:val="21"/>
          <w:szCs w:val="21"/>
          <w:lang w:val="en-US" w:eastAsia="zh-CN"/>
        </w:rPr>
        <w:t>3</w:t>
      </w:r>
      <w:r>
        <w:rPr>
          <w:rFonts w:hint="eastAsia" w:ascii="宋体" w:hAnsi="宋体"/>
          <w:sz w:val="21"/>
          <w:szCs w:val="21"/>
        </w:rPr>
        <w:t>个的；</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（2）经评标委员会评审后否决所有投标的。</w:t>
      </w:r>
    </w:p>
    <w:p>
      <w:pPr>
        <w:spacing w:line="360" w:lineRule="auto"/>
        <w:ind w:firstLine="413" w:firstLineChars="196"/>
        <w:rPr>
          <w:rFonts w:hint="default"/>
          <w:b/>
          <w:sz w:val="21"/>
          <w:szCs w:val="21"/>
        </w:rPr>
      </w:pPr>
      <w:bookmarkStart w:id="181" w:name="_Toc193115736"/>
      <w:bookmarkStart w:id="182" w:name="_Toc363035058"/>
      <w:bookmarkStart w:id="183" w:name="_Toc235592935"/>
      <w:r>
        <w:rPr>
          <w:b/>
          <w:sz w:val="21"/>
          <w:szCs w:val="21"/>
        </w:rPr>
        <w:t>8.2不再招标</w:t>
      </w:r>
      <w:bookmarkEnd w:id="181"/>
      <w:bookmarkEnd w:id="182"/>
      <w:bookmarkEnd w:id="183"/>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重新招标后投标人仍少于</w:t>
      </w:r>
      <w:r>
        <w:rPr>
          <w:rFonts w:hint="eastAsia" w:ascii="宋体" w:hAnsi="宋体"/>
          <w:sz w:val="21"/>
          <w:szCs w:val="21"/>
          <w:lang w:val="en-US" w:eastAsia="zh-CN"/>
        </w:rPr>
        <w:t>3</w:t>
      </w:r>
      <w:r>
        <w:rPr>
          <w:rFonts w:hint="eastAsia" w:ascii="宋体" w:hAnsi="宋体"/>
          <w:sz w:val="21"/>
          <w:szCs w:val="21"/>
        </w:rPr>
        <w:t>个或者所有投标被否决的，属于必须审批或核准的工程建设项目，经原审批或核准部门批准后不再进行招标。</w:t>
      </w:r>
    </w:p>
    <w:p>
      <w:pPr>
        <w:spacing w:line="360" w:lineRule="auto"/>
        <w:ind w:firstLine="413" w:firstLineChars="196"/>
        <w:rPr>
          <w:rFonts w:hint="default"/>
          <w:b/>
          <w:sz w:val="21"/>
          <w:szCs w:val="21"/>
        </w:rPr>
      </w:pPr>
      <w:bookmarkStart w:id="184" w:name="_Toc363035059"/>
      <w:bookmarkStart w:id="185" w:name="_Toc193115737"/>
      <w:bookmarkStart w:id="186" w:name="_Toc235592936"/>
      <w:bookmarkStart w:id="187" w:name="_Toc310493335"/>
      <w:r>
        <w:rPr>
          <w:b/>
          <w:sz w:val="21"/>
          <w:szCs w:val="21"/>
        </w:rPr>
        <w:t>9.纪律</w:t>
      </w:r>
      <w:bookmarkStart w:id="188" w:name="_Hlt226599220"/>
      <w:bookmarkEnd w:id="188"/>
      <w:r>
        <w:rPr>
          <w:b/>
          <w:sz w:val="21"/>
          <w:szCs w:val="21"/>
        </w:rPr>
        <w:t>和监督</w:t>
      </w:r>
      <w:bookmarkEnd w:id="184"/>
      <w:bookmarkEnd w:id="185"/>
      <w:bookmarkEnd w:id="186"/>
      <w:bookmarkEnd w:id="187"/>
    </w:p>
    <w:p>
      <w:pPr>
        <w:spacing w:line="360" w:lineRule="auto"/>
        <w:ind w:firstLine="413" w:firstLineChars="196"/>
        <w:rPr>
          <w:rFonts w:hint="default"/>
          <w:b/>
          <w:sz w:val="21"/>
          <w:szCs w:val="21"/>
        </w:rPr>
      </w:pPr>
      <w:bookmarkStart w:id="189" w:name="_Toc363035060"/>
      <w:bookmarkStart w:id="190" w:name="_Toc193115738"/>
      <w:bookmarkStart w:id="191" w:name="_Toc235592937"/>
      <w:r>
        <w:rPr>
          <w:b/>
          <w:sz w:val="21"/>
          <w:szCs w:val="21"/>
        </w:rPr>
        <w:t>9.1对招标人的纪律要求</w:t>
      </w:r>
      <w:bookmarkEnd w:id="189"/>
      <w:bookmarkEnd w:id="190"/>
      <w:bookmarkEnd w:id="19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招标人不得泄漏招标投标活动中应当保密的情况和资料，不得与投标人串通损害国家利益、社会公共利益或者他人合法权益。</w:t>
      </w:r>
    </w:p>
    <w:p>
      <w:pPr>
        <w:spacing w:line="360" w:lineRule="auto"/>
        <w:ind w:firstLine="413" w:firstLineChars="196"/>
        <w:rPr>
          <w:rFonts w:hint="default"/>
          <w:b/>
          <w:sz w:val="21"/>
          <w:szCs w:val="21"/>
        </w:rPr>
      </w:pPr>
      <w:bookmarkStart w:id="192" w:name="_Toc363035061"/>
      <w:bookmarkStart w:id="193" w:name="_Toc193115739"/>
      <w:bookmarkStart w:id="194" w:name="_Toc235592938"/>
      <w:r>
        <w:rPr>
          <w:b/>
          <w:sz w:val="21"/>
          <w:szCs w:val="21"/>
        </w:rPr>
        <w:t>9.2对投标人的纪律要求</w:t>
      </w:r>
      <w:bookmarkEnd w:id="192"/>
      <w:bookmarkEnd w:id="193"/>
      <w:bookmarkEnd w:id="19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13" w:firstLineChars="196"/>
        <w:rPr>
          <w:rFonts w:hint="default"/>
          <w:b/>
          <w:sz w:val="21"/>
          <w:szCs w:val="21"/>
        </w:rPr>
      </w:pPr>
      <w:bookmarkStart w:id="195" w:name="_Toc193115740"/>
      <w:bookmarkStart w:id="196" w:name="_Toc363035062"/>
      <w:bookmarkStart w:id="197" w:name="_Toc235592939"/>
      <w:r>
        <w:rPr>
          <w:b/>
          <w:sz w:val="21"/>
          <w:szCs w:val="21"/>
        </w:rPr>
        <w:t>9.3对评标委员会成员的纪律要求</w:t>
      </w:r>
      <w:bookmarkEnd w:id="195"/>
      <w:bookmarkEnd w:id="196"/>
      <w:bookmarkEnd w:id="19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13" w:firstLineChars="196"/>
        <w:rPr>
          <w:rFonts w:hint="default"/>
          <w:b/>
          <w:sz w:val="21"/>
          <w:szCs w:val="21"/>
        </w:rPr>
      </w:pPr>
      <w:bookmarkStart w:id="198" w:name="_Toc193115741"/>
      <w:bookmarkStart w:id="199" w:name="_Toc235592940"/>
      <w:bookmarkStart w:id="200" w:name="_Toc363035063"/>
      <w:r>
        <w:rPr>
          <w:b/>
          <w:sz w:val="21"/>
          <w:szCs w:val="21"/>
        </w:rPr>
        <w:t>9.4对与评标活动有关的工作人员的纪律要求</w:t>
      </w:r>
      <w:bookmarkEnd w:id="198"/>
      <w:bookmarkEnd w:id="199"/>
      <w:bookmarkEnd w:id="20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13" w:firstLineChars="196"/>
        <w:rPr>
          <w:rFonts w:hint="default"/>
          <w:b/>
          <w:sz w:val="21"/>
          <w:szCs w:val="21"/>
        </w:rPr>
      </w:pPr>
      <w:bookmarkStart w:id="201" w:name="_Toc363035064"/>
      <w:bookmarkStart w:id="202" w:name="_Toc235592941"/>
      <w:bookmarkStart w:id="203" w:name="_Toc193115742"/>
      <w:r>
        <w:rPr>
          <w:b/>
          <w:sz w:val="21"/>
          <w:szCs w:val="21"/>
        </w:rPr>
        <w:t>9.5投诉</w:t>
      </w:r>
      <w:bookmarkEnd w:id="201"/>
      <w:bookmarkEnd w:id="202"/>
      <w:bookmarkEnd w:id="203"/>
      <w:bookmarkStart w:id="204" w:name="_Hlt226599222"/>
      <w:bookmarkEnd w:id="204"/>
    </w:p>
    <w:p>
      <w:pPr>
        <w:pStyle w:val="30"/>
        <w:widowControl w:val="0"/>
        <w:adjustRightInd w:val="0"/>
        <w:snapToGrid w:val="0"/>
        <w:spacing w:line="360" w:lineRule="auto"/>
        <w:ind w:firstLine="420" w:firstLineChars="200"/>
        <w:jc w:val="left"/>
        <w:rPr>
          <w:rFonts w:ascii="宋体" w:hAnsi="宋体"/>
        </w:rPr>
      </w:pPr>
      <w:r>
        <w:rPr>
          <w:rFonts w:hint="eastAsia" w:ascii="宋体" w:hAnsi="宋体"/>
        </w:rPr>
        <w:t>9.5.1投标人或者其他利害关系人认为本次招标活动违反法律、法规和规章规定的，有权向有关行政监督部门投诉。</w:t>
      </w:r>
    </w:p>
    <w:p>
      <w:pPr>
        <w:pStyle w:val="30"/>
        <w:widowControl w:val="0"/>
        <w:adjustRightInd w:val="0"/>
        <w:snapToGrid w:val="0"/>
        <w:spacing w:line="360" w:lineRule="auto"/>
        <w:ind w:firstLine="420" w:firstLineChars="200"/>
        <w:rPr>
          <w:rFonts w:ascii="宋体" w:hAnsi="宋体"/>
        </w:rPr>
      </w:pPr>
      <w:r>
        <w:rPr>
          <w:rFonts w:hint="eastAsia" w:ascii="宋体" w:hAnsi="宋体"/>
        </w:rPr>
        <w:t>9.5.2投标人或者其他利害关系人认为招标投标活动不符合有关规定，应按下列规定先向招标人提出异议：</w:t>
      </w:r>
    </w:p>
    <w:p>
      <w:pPr>
        <w:pStyle w:val="30"/>
        <w:widowControl w:val="0"/>
        <w:adjustRightInd w:val="0"/>
        <w:snapToGrid w:val="0"/>
        <w:spacing w:line="360" w:lineRule="auto"/>
        <w:ind w:firstLine="420" w:firstLineChars="200"/>
        <w:rPr>
          <w:rFonts w:ascii="宋体" w:hAnsi="宋体"/>
        </w:rPr>
      </w:pPr>
      <w:r>
        <w:rPr>
          <w:rFonts w:hint="eastAsia" w:ascii="宋体" w:hAnsi="宋体"/>
        </w:rPr>
        <w:t>(1)认为招标文件内容违法或者不当的，应当在递交投标文件截止时间十日前以书面形式向招标人提出异议。招标人应当在收到异议后三日内作出答复，作出答复前，暂停招投标活动；</w:t>
      </w:r>
    </w:p>
    <w:p>
      <w:pPr>
        <w:pStyle w:val="30"/>
        <w:widowControl w:val="0"/>
        <w:adjustRightInd w:val="0"/>
        <w:snapToGrid w:val="0"/>
        <w:spacing w:line="360" w:lineRule="auto"/>
        <w:ind w:firstLine="420" w:firstLineChars="200"/>
        <w:rPr>
          <w:rFonts w:ascii="宋体" w:hAnsi="宋体"/>
        </w:rPr>
      </w:pPr>
      <w:r>
        <w:rPr>
          <w:rFonts w:hint="eastAsia" w:ascii="宋体" w:hAnsi="宋体"/>
        </w:rPr>
        <w:t>(2)认为开标活动违法</w:t>
      </w:r>
      <w:r>
        <w:rPr>
          <w:rFonts w:hint="eastAsia" w:ascii="宋体" w:hAnsi="宋体" w:cs="宋体"/>
          <w:kern w:val="0"/>
        </w:rPr>
        <w:t>或者不当的，应当在开标现场向招标人提出异议。招标人应当当场答复，</w:t>
      </w:r>
      <w:r>
        <w:rPr>
          <w:rFonts w:hint="eastAsia" w:ascii="宋体" w:hAnsi="宋体"/>
        </w:rPr>
        <w:t>并制作记录；</w:t>
      </w:r>
    </w:p>
    <w:p>
      <w:pPr>
        <w:pStyle w:val="30"/>
        <w:widowControl w:val="0"/>
        <w:adjustRightInd w:val="0"/>
        <w:snapToGrid w:val="0"/>
        <w:spacing w:line="360" w:lineRule="auto"/>
        <w:ind w:firstLine="420" w:firstLineChars="200"/>
        <w:rPr>
          <w:rFonts w:ascii="宋体" w:hAnsi="宋体"/>
        </w:rPr>
      </w:pPr>
      <w:r>
        <w:rPr>
          <w:rFonts w:hint="eastAsia" w:ascii="宋体" w:hAnsi="宋体"/>
        </w:rPr>
        <w:t>(3)对评标结果有异议的，应当在中标候选人公示期以书面形式向招标人提出。招标人应当在收到异议后三日内作出答复，作出答复前，暂停招投标活动。</w:t>
      </w:r>
    </w:p>
    <w:p>
      <w:pPr>
        <w:pStyle w:val="30"/>
        <w:widowControl w:val="0"/>
        <w:adjustRightInd w:val="0"/>
        <w:snapToGrid w:val="0"/>
        <w:spacing w:line="360" w:lineRule="auto"/>
        <w:ind w:firstLine="420" w:firstLineChars="200"/>
        <w:rPr>
          <w:rFonts w:ascii="宋体" w:hAnsi="宋体"/>
        </w:rPr>
      </w:pPr>
      <w:r>
        <w:rPr>
          <w:rFonts w:hint="eastAsia" w:ascii="宋体" w:hAnsi="宋体"/>
        </w:rPr>
        <w:t>招标人无正当理由不在规定时间内答复异议的，投标人或利害关系人可向行政监督部门投诉。在中标候选人公示期间提出异议的，公示期自异议答复后延续计算。</w:t>
      </w:r>
    </w:p>
    <w:p>
      <w:pPr>
        <w:spacing w:line="360" w:lineRule="auto"/>
        <w:ind w:firstLine="413" w:firstLineChars="196"/>
        <w:rPr>
          <w:rFonts w:hint="default"/>
          <w:b/>
          <w:sz w:val="21"/>
          <w:szCs w:val="21"/>
        </w:rPr>
      </w:pPr>
      <w:bookmarkStart w:id="205" w:name="_Hlt226791887"/>
      <w:bookmarkEnd w:id="205"/>
      <w:bookmarkStart w:id="206" w:name="_Hlt226626899"/>
      <w:bookmarkEnd w:id="206"/>
      <w:bookmarkStart w:id="207" w:name="_Hlt226599218"/>
      <w:bookmarkEnd w:id="207"/>
      <w:bookmarkStart w:id="208" w:name="_Toc363035065"/>
      <w:bookmarkStart w:id="209" w:name="_Toc235592942"/>
      <w:bookmarkStart w:id="210" w:name="_Toc193115743"/>
      <w:r>
        <w:rPr>
          <w:b/>
          <w:sz w:val="21"/>
          <w:szCs w:val="21"/>
        </w:rPr>
        <w:t>10.需要补充的其他内容</w:t>
      </w:r>
      <w:bookmarkEnd w:id="208"/>
      <w:bookmarkEnd w:id="209"/>
      <w:bookmarkEnd w:id="21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需要补充的其他内容：见投标人须知前附表。</w:t>
      </w:r>
    </w:p>
    <w:p>
      <w:pPr>
        <w:rPr>
          <w:rFonts w:hint="default"/>
        </w:rPr>
      </w:pPr>
      <w:bookmarkStart w:id="211" w:name="_Toc353184142"/>
      <w:bookmarkStart w:id="212" w:name="_Toc363035066"/>
    </w:p>
    <w:p>
      <w:pPr>
        <w:rPr>
          <w:rFonts w:hint="default"/>
          <w:sz w:val="28"/>
          <w:szCs w:val="28"/>
        </w:rPr>
      </w:pPr>
    </w:p>
    <w:p>
      <w:pPr>
        <w:rPr>
          <w:rFonts w:hint="default"/>
          <w:sz w:val="28"/>
          <w:szCs w:val="28"/>
        </w:rPr>
      </w:pPr>
    </w:p>
    <w:bookmarkEnd w:id="211"/>
    <w:bookmarkEnd w:id="212"/>
    <w:p>
      <w:pPr>
        <w:pStyle w:val="4"/>
        <w:numPr>
          <w:ilvl w:val="0"/>
          <w:numId w:val="3"/>
        </w:numPr>
        <w:rPr>
          <w:rFonts w:hint="eastAsia" w:ascii="宋体" w:eastAsia="宋体"/>
          <w:b/>
          <w:sz w:val="48"/>
          <w:szCs w:val="48"/>
        </w:rPr>
      </w:pPr>
      <w:bookmarkStart w:id="213" w:name="_Toc235592943"/>
      <w:bookmarkStart w:id="214" w:name="_Toc238546331"/>
      <w:bookmarkStart w:id="215" w:name="_Toc431071428"/>
      <w:bookmarkStart w:id="216" w:name="_Toc193115761"/>
      <w:bookmarkStart w:id="217" w:name="_Toc309294740"/>
      <w:r>
        <w:rPr>
          <w:rFonts w:hint="eastAsia" w:ascii="宋体" w:eastAsia="宋体"/>
          <w:b/>
          <w:sz w:val="48"/>
          <w:szCs w:val="48"/>
        </w:rPr>
        <w:t xml:space="preserve"> 评标办法</w:t>
      </w:r>
      <w:bookmarkEnd w:id="213"/>
      <w:bookmarkEnd w:id="214"/>
      <w:bookmarkEnd w:id="215"/>
      <w:bookmarkEnd w:id="216"/>
      <w:bookmarkEnd w:id="217"/>
    </w:p>
    <w:tbl>
      <w:tblPr>
        <w:tblStyle w:val="1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176"/>
        <w:gridCol w:w="2087"/>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6" w:type="dxa"/>
          </w:tcPr>
          <w:p>
            <w:pPr>
              <w:numPr>
                <w:ilvl w:val="0"/>
                <w:numId w:val="0"/>
              </w:numPr>
              <w:rPr>
                <w:rFonts w:hint="eastAsia" w:eastAsia="宋体"/>
                <w:sz w:val="21"/>
                <w:szCs w:val="21"/>
                <w:vertAlign w:val="baseline"/>
                <w:lang w:eastAsia="zh-CN"/>
              </w:rPr>
            </w:pPr>
            <w:r>
              <w:rPr>
                <w:rFonts w:hint="eastAsia"/>
                <w:sz w:val="21"/>
                <w:szCs w:val="21"/>
                <w:vertAlign w:val="baseline"/>
                <w:lang w:eastAsia="zh-CN"/>
              </w:rPr>
              <w:t>条款号</w:t>
            </w:r>
          </w:p>
        </w:tc>
        <w:tc>
          <w:tcPr>
            <w:tcW w:w="2127" w:type="dxa"/>
          </w:tcPr>
          <w:p>
            <w:pPr>
              <w:numPr>
                <w:ilvl w:val="0"/>
                <w:numId w:val="0"/>
              </w:numPr>
              <w:jc w:val="center"/>
              <w:rPr>
                <w:rFonts w:hint="eastAsia" w:eastAsia="宋体"/>
                <w:sz w:val="21"/>
                <w:szCs w:val="21"/>
                <w:vertAlign w:val="baseline"/>
                <w:lang w:eastAsia="zh-CN"/>
              </w:rPr>
            </w:pPr>
            <w:r>
              <w:rPr>
                <w:rFonts w:hint="eastAsia"/>
                <w:sz w:val="21"/>
                <w:szCs w:val="21"/>
                <w:vertAlign w:val="baseline"/>
                <w:lang w:eastAsia="zh-CN"/>
              </w:rPr>
              <w:t>评审因素</w:t>
            </w:r>
          </w:p>
        </w:tc>
        <w:tc>
          <w:tcPr>
            <w:tcW w:w="6207" w:type="dxa"/>
            <w:gridSpan w:val="2"/>
          </w:tcPr>
          <w:p>
            <w:pPr>
              <w:numPr>
                <w:ilvl w:val="0"/>
                <w:numId w:val="0"/>
              </w:numPr>
              <w:jc w:val="center"/>
              <w:rPr>
                <w:sz w:val="21"/>
                <w:szCs w:val="21"/>
                <w:vertAlign w:val="baseline"/>
              </w:rPr>
            </w:pPr>
            <w:r>
              <w:rPr>
                <w:rFonts w:hint="eastAsia"/>
                <w:sz w:val="21"/>
                <w:szCs w:val="21"/>
                <w:vertAlign w:val="baseli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numPr>
                <w:ilvl w:val="0"/>
                <w:numId w:val="0"/>
              </w:numPr>
              <w:rPr>
                <w:sz w:val="21"/>
                <w:szCs w:val="21"/>
                <w:vertAlign w:val="baseline"/>
              </w:rPr>
            </w:pPr>
          </w:p>
        </w:tc>
        <w:tc>
          <w:tcPr>
            <w:tcW w:w="8334" w:type="dxa"/>
            <w:gridSpan w:val="3"/>
          </w:tcPr>
          <w:p>
            <w:pPr>
              <w:numPr>
                <w:ilvl w:val="0"/>
                <w:numId w:val="0"/>
              </w:numPr>
              <w:jc w:val="center"/>
              <w:rPr>
                <w:rFonts w:hint="eastAsia" w:eastAsia="宋体"/>
                <w:sz w:val="21"/>
                <w:szCs w:val="21"/>
                <w:vertAlign w:val="baseline"/>
                <w:lang w:eastAsia="zh-CN"/>
              </w:rPr>
            </w:pPr>
            <w:r>
              <w:rPr>
                <w:rFonts w:hint="eastAsia"/>
                <w:sz w:val="21"/>
                <w:szCs w:val="21"/>
                <w:vertAlign w:val="baseline"/>
                <w:lang w:eastAsia="zh-CN"/>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1.1.1</w:t>
            </w: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投标人名称</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与营业执照、资质证书上的名称一致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投标文件签字盖章</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由法定代表人（或其委托代理人）签名（或加盖印章），并加</w:t>
            </w:r>
          </w:p>
          <w:p>
            <w:pPr>
              <w:numPr>
                <w:ilvl w:val="0"/>
                <w:numId w:val="0"/>
              </w:numPr>
              <w:spacing w:line="360" w:lineRule="auto"/>
              <w:rPr>
                <w:rFonts w:hint="eastAsia"/>
                <w:sz w:val="21"/>
                <w:szCs w:val="21"/>
                <w:vertAlign w:val="baseline"/>
              </w:rPr>
            </w:pPr>
            <w:r>
              <w:rPr>
                <w:rFonts w:hint="eastAsia"/>
                <w:sz w:val="21"/>
                <w:szCs w:val="21"/>
                <w:vertAlign w:val="baseline"/>
              </w:rPr>
              <w:t>盖投标人的单位公章。投标人加盖的单位公章与其营业执照的</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投标文件</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同一投标人未提交两份以上不同内容的投标文件，但招标文件</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投标报价</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同一投标人未提交两份以上不同内容的投标报价，但招标文件</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tcPr>
          <w:p>
            <w:pPr>
              <w:numPr>
                <w:ilvl w:val="0"/>
                <w:numId w:val="0"/>
              </w:numPr>
              <w:spacing w:line="360" w:lineRule="auto"/>
              <w:rPr>
                <w:sz w:val="21"/>
                <w:szCs w:val="21"/>
                <w:vertAlign w:val="baseline"/>
              </w:rPr>
            </w:pPr>
            <w:r>
              <w:rPr>
                <w:rFonts w:hint="eastAsia"/>
                <w:sz w:val="21"/>
                <w:szCs w:val="21"/>
                <w:vertAlign w:val="baseline"/>
              </w:rPr>
              <w:t>联合体投标人（如有）</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提交共同投标协议，且明确了主办方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1.1.2</w:t>
            </w:r>
          </w:p>
        </w:tc>
        <w:tc>
          <w:tcPr>
            <w:tcW w:w="8334" w:type="dxa"/>
            <w:gridSpan w:val="3"/>
          </w:tcPr>
          <w:p>
            <w:pPr>
              <w:numPr>
                <w:ilvl w:val="0"/>
                <w:numId w:val="0"/>
              </w:numPr>
              <w:spacing w:line="360" w:lineRule="auto"/>
              <w:jc w:val="center"/>
              <w:rPr>
                <w:sz w:val="21"/>
                <w:szCs w:val="21"/>
                <w:vertAlign w:val="baseline"/>
              </w:rPr>
            </w:pPr>
            <w:r>
              <w:rPr>
                <w:rFonts w:hint="eastAsia"/>
                <w:sz w:val="21"/>
                <w:szCs w:val="21"/>
                <w:vertAlign w:val="baseli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numPr>
                <w:ilvl w:val="0"/>
                <w:numId w:val="0"/>
              </w:numPr>
              <w:jc w:val="center"/>
              <w:rPr>
                <w:rFonts w:hint="eastAsia"/>
                <w:sz w:val="21"/>
                <w:szCs w:val="21"/>
                <w:vertAlign w:val="baseline"/>
                <w:lang w:val="en-US" w:eastAsia="zh-CN"/>
              </w:rPr>
            </w:pPr>
          </w:p>
        </w:tc>
        <w:tc>
          <w:tcPr>
            <w:tcW w:w="4167" w:type="dxa"/>
            <w:gridSpan w:val="2"/>
          </w:tcPr>
          <w:p>
            <w:pPr>
              <w:numPr>
                <w:ilvl w:val="0"/>
                <w:numId w:val="0"/>
              </w:numPr>
              <w:spacing w:line="360" w:lineRule="auto"/>
              <w:rPr>
                <w:rFonts w:hint="eastAsia" w:eastAsia="宋体"/>
                <w:sz w:val="21"/>
                <w:szCs w:val="21"/>
                <w:vertAlign w:val="baseline"/>
                <w:lang w:eastAsia="zh-CN"/>
              </w:rPr>
            </w:pPr>
            <w:r>
              <w:rPr>
                <w:rFonts w:hint="eastAsia"/>
                <w:sz w:val="21"/>
                <w:szCs w:val="21"/>
                <w:vertAlign w:val="baseline"/>
                <w:lang w:eastAsia="zh-CN"/>
              </w:rPr>
              <w:t>营业执照</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sz w:val="21"/>
                <w:szCs w:val="21"/>
              </w:rPr>
            </w:pPr>
          </w:p>
        </w:tc>
        <w:tc>
          <w:tcPr>
            <w:tcW w:w="4167" w:type="dxa"/>
            <w:gridSpan w:val="2"/>
          </w:tcPr>
          <w:p>
            <w:pPr>
              <w:numPr>
                <w:ilvl w:val="0"/>
                <w:numId w:val="0"/>
              </w:numPr>
              <w:spacing w:line="360" w:lineRule="auto"/>
              <w:rPr>
                <w:sz w:val="21"/>
                <w:szCs w:val="21"/>
              </w:rPr>
            </w:pPr>
            <w:r>
              <w:rPr>
                <w:rFonts w:hint="eastAsia"/>
                <w:sz w:val="21"/>
                <w:szCs w:val="21"/>
              </w:rPr>
              <w:t>资质等级</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拟任项目负责人资格</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其他要求</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投标保证</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8334" w:type="dxa"/>
            <w:gridSpan w:val="3"/>
          </w:tcPr>
          <w:p>
            <w:pPr>
              <w:numPr>
                <w:ilvl w:val="0"/>
                <w:numId w:val="0"/>
              </w:numPr>
              <w:spacing w:line="360" w:lineRule="auto"/>
              <w:rPr>
                <w:sz w:val="21"/>
                <w:szCs w:val="21"/>
                <w:vertAlign w:val="baseline"/>
              </w:rPr>
            </w:pPr>
            <w:r>
              <w:rPr>
                <w:rFonts w:hint="eastAsia"/>
                <w:sz w:val="21"/>
                <w:szCs w:val="21"/>
                <w:vertAlign w:val="baseline"/>
              </w:rPr>
              <w:t>资格评审过程中，评标委员会发现投标人提交的资格审查资料不全时，应当听取该投标人 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1.1.3</w:t>
            </w:r>
          </w:p>
        </w:tc>
        <w:tc>
          <w:tcPr>
            <w:tcW w:w="8334" w:type="dxa"/>
            <w:gridSpan w:val="3"/>
          </w:tcPr>
          <w:p>
            <w:pPr>
              <w:numPr>
                <w:ilvl w:val="0"/>
                <w:numId w:val="0"/>
              </w:numPr>
              <w:spacing w:line="360" w:lineRule="auto"/>
              <w:ind w:left="0" w:leftChars="0" w:firstLine="0" w:firstLineChars="0"/>
              <w:jc w:val="center"/>
              <w:rPr>
                <w:rFonts w:hint="eastAsia"/>
                <w:sz w:val="21"/>
                <w:szCs w:val="21"/>
                <w:vertAlign w:val="baseline"/>
              </w:rPr>
            </w:pPr>
            <w:r>
              <w:rPr>
                <w:rFonts w:hint="eastAsia"/>
                <w:sz w:val="21"/>
                <w:szCs w:val="21"/>
                <w:vertAlign w:val="baseli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投标内容</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服务周期</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投标文件载明的造价咨询服务周期满足招标文件的要求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投标报价</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投标人所报投标报价未超过招标文件规定的招标控制价的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8334" w:type="dxa"/>
            <w:gridSpan w:val="3"/>
          </w:tcPr>
          <w:p>
            <w:pPr>
              <w:numPr>
                <w:ilvl w:val="0"/>
                <w:numId w:val="0"/>
              </w:numPr>
              <w:spacing w:line="360" w:lineRule="auto"/>
              <w:rPr>
                <w:sz w:val="21"/>
                <w:szCs w:val="21"/>
                <w:vertAlign w:val="baseline"/>
              </w:rPr>
            </w:pPr>
            <w:r>
              <w:rPr>
                <w:rFonts w:hint="eastAsia"/>
                <w:sz w:val="21"/>
                <w:szCs w:val="21"/>
                <w:vertAlign w:val="baseline"/>
              </w:rPr>
              <w:t>其他响应招标文件提出的实质性要求和条件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numPr>
                <w:ilvl w:val="0"/>
                <w:numId w:val="0"/>
              </w:numPr>
              <w:jc w:val="center"/>
              <w:rPr>
                <w:sz w:val="21"/>
                <w:szCs w:val="21"/>
                <w:vertAlign w:val="baseline"/>
              </w:rPr>
            </w:pPr>
            <w:r>
              <w:rPr>
                <w:rFonts w:hint="eastAsia"/>
                <w:sz w:val="21"/>
                <w:szCs w:val="21"/>
                <w:vertAlign w:val="baseline"/>
              </w:rPr>
              <w:t>条款号</w:t>
            </w:r>
          </w:p>
        </w:tc>
        <w:tc>
          <w:tcPr>
            <w:tcW w:w="2127" w:type="dxa"/>
          </w:tcPr>
          <w:p>
            <w:pPr>
              <w:numPr>
                <w:ilvl w:val="0"/>
                <w:numId w:val="0"/>
              </w:numPr>
              <w:spacing w:line="360" w:lineRule="auto"/>
              <w:jc w:val="center"/>
              <w:rPr>
                <w:sz w:val="21"/>
                <w:szCs w:val="21"/>
                <w:vertAlign w:val="baseline"/>
              </w:rPr>
            </w:pPr>
            <w:r>
              <w:rPr>
                <w:rFonts w:hint="eastAsia"/>
                <w:sz w:val="21"/>
                <w:szCs w:val="21"/>
                <w:vertAlign w:val="baseline"/>
              </w:rPr>
              <w:t>条款内容</w:t>
            </w:r>
          </w:p>
        </w:tc>
        <w:tc>
          <w:tcPr>
            <w:tcW w:w="6207" w:type="dxa"/>
            <w:gridSpan w:val="2"/>
          </w:tcPr>
          <w:p>
            <w:pPr>
              <w:numPr>
                <w:ilvl w:val="0"/>
                <w:numId w:val="0"/>
              </w:numPr>
              <w:spacing w:line="360" w:lineRule="auto"/>
              <w:jc w:val="center"/>
              <w:rPr>
                <w:sz w:val="21"/>
                <w:szCs w:val="21"/>
                <w:vertAlign w:val="baseline"/>
              </w:rPr>
            </w:pPr>
            <w:r>
              <w:rPr>
                <w:rFonts w:hint="eastAsia"/>
                <w:sz w:val="21"/>
                <w:szCs w:val="21"/>
                <w:vertAlign w:val="baseline"/>
              </w:rPr>
              <w:t>编列内容</w:t>
            </w:r>
          </w:p>
        </w:tc>
      </w:tr>
    </w:tbl>
    <w:tbl>
      <w:tblPr>
        <w:tblStyle w:val="18"/>
        <w:tblW w:w="958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8"/>
        <w:gridCol w:w="1276"/>
        <w:gridCol w:w="77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3109" w:type="dxa"/>
            <w:gridSpan w:val="3"/>
            <w:noWrap w:val="0"/>
            <w:tcMar>
              <w:top w:w="15" w:type="dxa"/>
              <w:left w:w="15" w:type="dxa"/>
              <w:bottom w:w="0" w:type="dxa"/>
              <w:right w:w="15" w:type="dxa"/>
            </w:tcMar>
            <w:vAlign w:val="center"/>
          </w:tcPr>
          <w:p>
            <w:pPr>
              <w:spacing w:before="20" w:after="20"/>
              <w:ind w:left="72" w:leftChars="30" w:right="72" w:rightChars="30"/>
              <w:jc w:val="center"/>
              <w:rPr>
                <w:rFonts w:ascii="宋体" w:hAnsi="宋体"/>
                <w:b/>
                <w:sz w:val="24"/>
              </w:rPr>
            </w:pPr>
            <w:bookmarkStart w:id="218" w:name="_Toc309294741"/>
            <w:r>
              <w:rPr>
                <w:rFonts w:hint="eastAsia" w:ascii="宋体" w:hAnsi="宋体"/>
                <w:b/>
                <w:sz w:val="24"/>
                <w:lang w:eastAsia="zh-CN"/>
              </w:rPr>
              <w:t>权值（</w:t>
            </w:r>
            <w:r>
              <w:rPr>
                <w:rFonts w:hint="eastAsia" w:ascii="宋体" w:hAnsi="宋体"/>
                <w:b/>
                <w:sz w:val="24"/>
                <w:lang w:val="en-US" w:eastAsia="zh-CN"/>
              </w:rPr>
              <w:t>100分</w:t>
            </w:r>
            <w:r>
              <w:rPr>
                <w:rFonts w:hint="eastAsia" w:ascii="宋体" w:hAnsi="宋体"/>
                <w:b/>
                <w:sz w:val="24"/>
                <w:lang w:eastAsia="zh-CN"/>
              </w:rPr>
              <w:t>）</w:t>
            </w:r>
          </w:p>
        </w:tc>
        <w:tc>
          <w:tcPr>
            <w:tcW w:w="6480" w:type="dxa"/>
            <w:noWrap w:val="0"/>
            <w:vAlign w:val="center"/>
          </w:tcPr>
          <w:p>
            <w:pPr>
              <w:spacing w:before="20" w:after="20"/>
              <w:ind w:left="72" w:leftChars="30" w:right="72" w:rightChars="30"/>
              <w:jc w:val="center"/>
              <w:rPr>
                <w:rFonts w:hint="default" w:ascii="宋体" w:hAnsi="宋体" w:cs="Times New Roman"/>
                <w:b/>
                <w:sz w:val="24"/>
                <w:lang w:val="en-US" w:eastAsia="zh-CN"/>
              </w:rPr>
            </w:pPr>
            <w:r>
              <w:rPr>
                <w:rFonts w:hint="eastAsia" w:ascii="宋体" w:hAnsi="宋体" w:cs="Times New Roman"/>
                <w:b/>
                <w:sz w:val="24"/>
                <w:lang w:val="en-US" w:eastAsia="zh-CN"/>
              </w:rPr>
              <w:t>商务权值：40分</w:t>
            </w:r>
          </w:p>
          <w:p>
            <w:pPr>
              <w:spacing w:before="20" w:after="20"/>
              <w:ind w:left="72" w:leftChars="30" w:right="72" w:rightChars="30"/>
              <w:jc w:val="center"/>
              <w:rPr>
                <w:rFonts w:hint="default" w:ascii="宋体" w:hAnsi="宋体" w:cs="Times New Roman"/>
                <w:b/>
                <w:sz w:val="24"/>
                <w:lang w:val="en-US" w:eastAsia="zh-CN"/>
              </w:rPr>
            </w:pPr>
            <w:r>
              <w:rPr>
                <w:rFonts w:hint="eastAsia" w:ascii="宋体" w:hAnsi="宋体" w:cs="Times New Roman"/>
                <w:b/>
                <w:sz w:val="24"/>
                <w:lang w:val="en-US" w:eastAsia="zh-CN"/>
              </w:rPr>
              <w:t>技术权值：40分</w:t>
            </w:r>
          </w:p>
          <w:p>
            <w:pPr>
              <w:spacing w:before="20" w:after="20"/>
              <w:ind w:left="72" w:leftChars="30" w:right="72" w:rightChars="30"/>
              <w:jc w:val="center"/>
              <w:rPr>
                <w:rFonts w:hint="default" w:ascii="宋体" w:hAnsi="宋体"/>
                <w:b/>
                <w:sz w:val="24"/>
                <w:lang w:val="en-US" w:eastAsia="zh-CN"/>
              </w:rPr>
            </w:pPr>
            <w:r>
              <w:rPr>
                <w:rFonts w:hint="eastAsia" w:ascii="宋体" w:hAnsi="宋体" w:cs="Times New Roman"/>
                <w:b/>
                <w:sz w:val="24"/>
                <w:lang w:val="en-US" w:eastAsia="zh-CN"/>
              </w:rPr>
              <w:t>报价权值：20分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058" w:type="dxa"/>
            <w:noWrap w:val="0"/>
            <w:tcMar>
              <w:top w:w="15" w:type="dxa"/>
              <w:left w:w="15" w:type="dxa"/>
              <w:bottom w:w="0" w:type="dxa"/>
              <w:right w:w="15" w:type="dxa"/>
            </w:tcMar>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rPr>
              <w:t>项目</w:t>
            </w:r>
          </w:p>
        </w:tc>
        <w:tc>
          <w:tcPr>
            <w:tcW w:w="1276" w:type="dxa"/>
            <w:noWrap w:val="0"/>
            <w:tcMar>
              <w:top w:w="15" w:type="dxa"/>
              <w:left w:w="15" w:type="dxa"/>
              <w:bottom w:w="0" w:type="dxa"/>
              <w:right w:w="15" w:type="dxa"/>
            </w:tcMar>
            <w:vAlign w:val="center"/>
          </w:tcPr>
          <w:p>
            <w:pPr>
              <w:spacing w:before="20" w:after="20"/>
              <w:ind w:left="72" w:leftChars="30" w:right="72" w:rightChars="30"/>
              <w:jc w:val="center"/>
              <w:rPr>
                <w:rFonts w:hint="eastAsia" w:ascii="宋体" w:hAnsi="宋体" w:eastAsia="宋体" w:cs="Times New Roman"/>
                <w:b/>
                <w:kern w:val="2"/>
                <w:sz w:val="24"/>
                <w:szCs w:val="24"/>
                <w:lang w:val="en-US" w:eastAsia="zh-CN" w:bidi="ar-SA"/>
              </w:rPr>
            </w:pPr>
            <w:r>
              <w:rPr>
                <w:rFonts w:hint="eastAsia" w:ascii="宋体" w:hAnsi="宋体"/>
                <w:b/>
                <w:sz w:val="24"/>
              </w:rPr>
              <w:t>评审因素</w:t>
            </w:r>
          </w:p>
        </w:tc>
        <w:tc>
          <w:tcPr>
            <w:tcW w:w="775" w:type="dxa"/>
            <w:noWrap w:val="0"/>
            <w:tcMar>
              <w:top w:w="15" w:type="dxa"/>
              <w:left w:w="15" w:type="dxa"/>
              <w:bottom w:w="0" w:type="dxa"/>
              <w:right w:w="15" w:type="dxa"/>
            </w:tcMar>
            <w:vAlign w:val="center"/>
          </w:tcPr>
          <w:p>
            <w:pPr>
              <w:spacing w:before="20" w:after="20"/>
              <w:ind w:left="72" w:leftChars="30" w:right="72" w:rightChars="30"/>
              <w:jc w:val="center"/>
              <w:rPr>
                <w:rFonts w:hint="eastAsia" w:ascii="宋体" w:hAnsi="宋体" w:eastAsia="宋体" w:cs="Times New Roman"/>
                <w:b/>
                <w:kern w:val="2"/>
                <w:sz w:val="24"/>
                <w:szCs w:val="24"/>
                <w:lang w:val="en-US" w:eastAsia="zh-CN" w:bidi="ar-SA"/>
              </w:rPr>
            </w:pPr>
            <w:r>
              <w:rPr>
                <w:rFonts w:hint="eastAsia" w:ascii="宋体" w:hAnsi="宋体"/>
                <w:b/>
                <w:sz w:val="24"/>
              </w:rPr>
              <w:t>分值</w:t>
            </w:r>
          </w:p>
        </w:tc>
        <w:tc>
          <w:tcPr>
            <w:tcW w:w="6480" w:type="dxa"/>
            <w:noWrap w:val="0"/>
            <w:vAlign w:val="center"/>
          </w:tcPr>
          <w:p>
            <w:pPr>
              <w:spacing w:before="20" w:after="20"/>
              <w:ind w:left="72" w:leftChars="30" w:right="130" w:rightChars="54"/>
              <w:jc w:val="center"/>
              <w:rPr>
                <w:rFonts w:hint="eastAsia" w:ascii="宋体" w:hAnsi="宋体" w:eastAsia="宋体" w:cs="Times New Roman"/>
                <w:b/>
                <w:kern w:val="2"/>
                <w:sz w:val="24"/>
                <w:szCs w:val="24"/>
                <w:lang w:val="en-US" w:eastAsia="zh-CN" w:bidi="ar-SA"/>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58" w:type="dxa"/>
            <w:vMerge w:val="restart"/>
            <w:noWrap w:val="0"/>
            <w:tcMar>
              <w:top w:w="15" w:type="dxa"/>
              <w:left w:w="15" w:type="dxa"/>
              <w:bottom w:w="0" w:type="dxa"/>
              <w:right w:w="15" w:type="dxa"/>
            </w:tcMar>
            <w:vAlign w:val="center"/>
          </w:tcPr>
          <w:p>
            <w:pPr>
              <w:ind w:left="24" w:leftChars="10" w:right="24" w:rightChars="10"/>
              <w:jc w:val="center"/>
              <w:textAlignment w:val="baseline"/>
              <w:rPr>
                <w:rFonts w:ascii="宋体" w:hAnsi="宋体"/>
                <w:sz w:val="24"/>
              </w:rPr>
            </w:pPr>
            <w:r>
              <w:rPr>
                <w:rFonts w:hint="eastAsia" w:cs="Times New Roman"/>
                <w:lang w:val="en-US" w:eastAsia="zh-CN"/>
              </w:rPr>
              <w:t>商务（权值0.40）</w:t>
            </w:r>
          </w:p>
        </w:tc>
        <w:tc>
          <w:tcPr>
            <w:tcW w:w="1276" w:type="dxa"/>
            <w:noWrap w:val="0"/>
            <w:tcMar>
              <w:top w:w="15" w:type="dxa"/>
              <w:left w:w="15" w:type="dxa"/>
              <w:bottom w:w="0" w:type="dxa"/>
              <w:right w:w="15" w:type="dxa"/>
            </w:tcMar>
            <w:vAlign w:val="center"/>
          </w:tcPr>
          <w:p>
            <w:pPr>
              <w:widowControl/>
              <w:jc w:val="center"/>
              <w:rPr>
                <w:rFonts w:ascii="宋体" w:hAnsi="宋体" w:cs="黑体"/>
                <w:sz w:val="24"/>
              </w:rPr>
            </w:pPr>
            <w:r>
              <w:rPr>
                <w:rFonts w:hint="eastAsia" w:cs="宋体"/>
                <w:b/>
                <w:bCs/>
                <w:sz w:val="21"/>
                <w:szCs w:val="21"/>
                <w:vertAlign w:val="baseline"/>
                <w:lang w:val="en-US" w:eastAsia="zh-CN"/>
              </w:rPr>
              <w:t>企业信用</w:t>
            </w:r>
          </w:p>
        </w:tc>
        <w:tc>
          <w:tcPr>
            <w:tcW w:w="775" w:type="dxa"/>
            <w:noWrap w:val="0"/>
            <w:tcMar>
              <w:top w:w="15" w:type="dxa"/>
              <w:left w:w="15" w:type="dxa"/>
              <w:bottom w:w="0" w:type="dxa"/>
              <w:right w:w="15" w:type="dxa"/>
            </w:tcMar>
            <w:vAlign w:val="center"/>
          </w:tcPr>
          <w:p>
            <w:pPr>
              <w:spacing w:line="360" w:lineRule="auto"/>
              <w:ind w:right="130" w:rightChars="54"/>
              <w:jc w:val="center"/>
              <w:rPr>
                <w:rFonts w:hint="default" w:ascii="宋体" w:hAnsi="宋体" w:eastAsia="宋体" w:cs="宋体"/>
                <w:sz w:val="24"/>
                <w:lang w:val="en-US" w:eastAsia="zh-CN"/>
              </w:rPr>
            </w:pPr>
            <w:r>
              <w:rPr>
                <w:rFonts w:hint="eastAsia" w:cs="Times New Roman"/>
                <w:lang w:val="en-US" w:eastAsia="zh-CN"/>
              </w:rPr>
              <w:t>8</w:t>
            </w:r>
          </w:p>
        </w:tc>
        <w:tc>
          <w:tcPr>
            <w:tcW w:w="6480" w:type="dxa"/>
            <w:noWrap w:val="0"/>
            <w:vAlign w:val="center"/>
          </w:tcPr>
          <w:p>
            <w:pPr>
              <w:numPr>
                <w:ilvl w:val="0"/>
                <w:numId w:val="4"/>
              </w:numPr>
              <w:spacing w:line="360" w:lineRule="auto"/>
              <w:ind w:right="130" w:rightChars="54"/>
              <w:rPr>
                <w:rFonts w:hint="eastAsia" w:cs="Times New Roman"/>
                <w:lang w:eastAsia="zh-CN"/>
              </w:rPr>
            </w:pPr>
            <w:r>
              <w:rPr>
                <w:rFonts w:hint="eastAsia"/>
                <w:lang w:eastAsia="zh-CN"/>
              </w:rPr>
              <w:t>投标</w:t>
            </w:r>
            <w:r>
              <w:rPr>
                <w:rFonts w:hint="eastAsia" w:cs="Times New Roman"/>
                <w:lang w:eastAsia="zh-CN"/>
              </w:rPr>
              <w:t>人获得</w:t>
            </w:r>
            <w:r>
              <w:rPr>
                <w:rFonts w:hint="eastAsia" w:ascii="宋体" w:hAnsi="宋体" w:eastAsia="宋体" w:cs="Times New Roman"/>
                <w:lang w:eastAsia="zh-CN"/>
              </w:rPr>
              <w:t>省级及以上建设工程造价管</w:t>
            </w:r>
            <w:r>
              <w:rPr>
                <w:rFonts w:hint="eastAsia" w:cs="Times New Roman"/>
                <w:lang w:eastAsia="zh-CN"/>
              </w:rPr>
              <w:t>理协会企业信用评价结果等级评定的，AAA级计</w:t>
            </w:r>
            <w:r>
              <w:rPr>
                <w:rFonts w:hint="eastAsia" w:cs="Times New Roman"/>
                <w:lang w:val="en-US" w:eastAsia="zh-CN"/>
              </w:rPr>
              <w:t>5</w:t>
            </w:r>
            <w:r>
              <w:rPr>
                <w:rFonts w:hint="eastAsia" w:cs="Times New Roman"/>
                <w:lang w:eastAsia="zh-CN"/>
              </w:rPr>
              <w:t>分，AA级计</w:t>
            </w:r>
            <w:r>
              <w:rPr>
                <w:rFonts w:hint="eastAsia" w:cs="Times New Roman"/>
                <w:lang w:val="en-US" w:eastAsia="zh-CN"/>
              </w:rPr>
              <w:t>3</w:t>
            </w:r>
            <w:r>
              <w:rPr>
                <w:rFonts w:hint="eastAsia" w:cs="Times New Roman"/>
                <w:lang w:eastAsia="zh-CN"/>
              </w:rPr>
              <w:t>分，A级计</w:t>
            </w:r>
            <w:r>
              <w:rPr>
                <w:rFonts w:hint="eastAsia" w:cs="Times New Roman"/>
                <w:lang w:val="en-US" w:eastAsia="zh-CN"/>
              </w:rPr>
              <w:t>1</w:t>
            </w:r>
            <w:r>
              <w:rPr>
                <w:rFonts w:hint="eastAsia" w:cs="Times New Roman"/>
                <w:lang w:eastAsia="zh-CN"/>
              </w:rPr>
              <w:t>分。</w:t>
            </w:r>
          </w:p>
          <w:p>
            <w:pPr>
              <w:numPr>
                <w:ilvl w:val="0"/>
                <w:numId w:val="4"/>
              </w:numPr>
              <w:spacing w:line="360" w:lineRule="auto"/>
              <w:ind w:left="0" w:leftChars="0" w:right="130" w:rightChars="54" w:firstLine="0" w:firstLineChars="0"/>
              <w:rPr>
                <w:rFonts w:hint="eastAsia" w:cs="Times New Roman"/>
                <w:lang w:val="en-US" w:eastAsia="zh-CN"/>
              </w:rPr>
            </w:pPr>
            <w:r>
              <w:rPr>
                <w:rFonts w:hint="eastAsia" w:cs="Times New Roman"/>
                <w:lang w:val="en-US" w:eastAsia="zh-CN"/>
              </w:rPr>
              <w:t>投标人具备质量管理体系、职业健康安全管理体系、环境管理体系认证的。每项计1分，最高计3分。</w:t>
            </w:r>
          </w:p>
          <w:p>
            <w:pPr>
              <w:numPr>
                <w:ilvl w:val="0"/>
                <w:numId w:val="0"/>
              </w:numPr>
              <w:spacing w:line="360" w:lineRule="auto"/>
              <w:ind w:leftChars="0" w:right="130" w:rightChars="54"/>
            </w:pPr>
            <w:r>
              <w:rPr>
                <w:rFonts w:hint="eastAsia" w:cs="Times New Roman"/>
                <w:lang w:eastAsia="zh-CN"/>
              </w:rPr>
              <w:t>注：投标人须提供加盖单位公章的网上公示名单截图和证书复印件。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eastAsia="宋体" w:cs="Times New Roman"/>
                <w:lang w:val="en-US" w:eastAsia="zh-CN"/>
              </w:rPr>
            </w:pPr>
            <w:r>
              <w:rPr>
                <w:rFonts w:hint="eastAsia" w:cs="Times New Roman"/>
                <w:lang w:val="en-US" w:eastAsia="zh-CN"/>
              </w:rPr>
              <w:t>企业信誉</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top"/>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投标人应参与浏阳市财政详审中心造价咨询中介机构2020年度第一、第二、第三、季度考核，质量考核得分在90分以上，集中考核得分在100分以上，计8分；质量考核得分在80分以上，集中考核得分在90分以上，计5分；质量考核得分在70分以上，集中考核得分在80分以上，计2分；其余不计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注：提供相关证明材料扫描件并加盖公章，否则不计分。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restart"/>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项目团队成员</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6</w:t>
            </w:r>
          </w:p>
        </w:tc>
        <w:tc>
          <w:tcPr>
            <w:tcW w:w="6480" w:type="dxa"/>
            <w:noWrap w:val="0"/>
            <w:vAlign w:val="center"/>
          </w:tcPr>
          <w:p>
            <w:pPr>
              <w:numPr>
                <w:ilvl w:val="0"/>
                <w:numId w:val="0"/>
              </w:numPr>
              <w:spacing w:line="360" w:lineRule="auto"/>
              <w:ind w:right="130" w:rightChars="54"/>
              <w:rPr>
                <w:rFonts w:hint="eastAsia" w:cs="Times New Roman"/>
                <w:lang w:val="en-US" w:eastAsia="zh-CN"/>
              </w:rPr>
            </w:pPr>
            <w:r>
              <w:rPr>
                <w:rFonts w:hint="eastAsia" w:cs="Times New Roman"/>
                <w:lang w:val="en-US" w:eastAsia="zh-CN"/>
              </w:rPr>
              <w:t>项目负责人：</w:t>
            </w:r>
          </w:p>
          <w:p>
            <w:pPr>
              <w:numPr>
                <w:ilvl w:val="0"/>
                <w:numId w:val="5"/>
              </w:numPr>
              <w:spacing w:line="360" w:lineRule="auto"/>
              <w:ind w:leftChars="0" w:right="130" w:rightChars="54"/>
              <w:rPr>
                <w:rFonts w:hint="eastAsia" w:cs="Times New Roman"/>
                <w:lang w:val="en-US" w:eastAsia="zh-CN"/>
              </w:rPr>
            </w:pPr>
            <w:r>
              <w:rPr>
                <w:rFonts w:hint="eastAsia" w:cs="Times New Roman"/>
                <w:lang w:val="en-US" w:eastAsia="zh-CN"/>
              </w:rPr>
              <w:t>拟任本项目项目负责人取得国家注册造价师执业证书年限达到15年或以上的计2分；拟任的项目负责人具有工程类或工程经济类相关专业高级工程师及以上职称计1分，其他不计分。本项最高分计满3分。</w:t>
            </w:r>
          </w:p>
          <w:p>
            <w:pPr>
              <w:numPr>
                <w:ilvl w:val="0"/>
                <w:numId w:val="0"/>
              </w:numPr>
              <w:spacing w:line="360" w:lineRule="auto"/>
              <w:ind w:right="130" w:rightChars="54"/>
              <w:rPr>
                <w:rFonts w:hint="eastAsia" w:cs="Times New Roman"/>
                <w:lang w:val="en-US" w:eastAsia="zh-CN"/>
              </w:rPr>
            </w:pPr>
            <w:r>
              <w:rPr>
                <w:rFonts w:hint="eastAsia" w:cs="Times New Roman"/>
                <w:lang w:val="en-US" w:eastAsia="zh-CN"/>
              </w:rPr>
              <w:t>2、拟任本项目项目负责人获得市（州）级及以上住房城乡建设主管部门或市(州)建设工程造价管理机构表彰的，每一项计1分。本项最高分计满3分。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continue"/>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4</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技术负责人：</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拟任本项目技术负责人取得国家注册造价师执业证书年限达到15年或以上的计3分；拟任的技术复核负责人具有工程类或工程经济类相关专业高级工程师及以上职称计1分，其他不计分。本项最高分计满3分。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continue"/>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团队成员：</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拟任项目团队人员配备中除项目负责人、技术负责人外，具有建设行政主管部门颁发的注册在本单位的全国注册造价工程师执业资格证书或国家一级注册造价工程师证书每个计2分，最高计8分。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1.以上须提供加盖投标人公章的复印件，原件备查，未提供证书及相关材料原件的不计分。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2.其国家注册造价工程师应在中国建设工程造价管理协会官网综合查询项中，提供网站截图。</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3.造价工程师的注册证书需反映该名造价工程师注册单位与投标人单位名称一致，有变更的需提供变更页，变更公示期内的人员不能作为该投标人单位人员计算。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 w:hRule="atLeast"/>
        </w:trPr>
        <w:tc>
          <w:tcPr>
            <w:tcW w:w="1058" w:type="dxa"/>
            <w:vMerge w:val="continue"/>
            <w:noWrap w:val="0"/>
            <w:tcMar>
              <w:top w:w="15" w:type="dxa"/>
              <w:left w:w="15" w:type="dxa"/>
              <w:bottom w:w="0" w:type="dxa"/>
              <w:right w:w="15" w:type="dxa"/>
            </w:tcMar>
            <w:vAlign w:val="center"/>
          </w:tcPr>
          <w:p>
            <w:pPr>
              <w:widowControl/>
              <w:ind w:left="24" w:leftChars="10" w:right="24" w:rightChars="10"/>
              <w:jc w:val="center"/>
              <w:textAlignment w:val="baseline"/>
              <w:rPr>
                <w:rFonts w:ascii="宋体" w:hAnsi="宋体"/>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企业类似业绩</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6</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1投标人在投标截止日前36个月内（以合同签订日期为准），承担过单项合同工程造价咨询业绩，每提供一个计2分，本项最高分计满6分。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[注：以上类似</w:t>
            </w:r>
            <w:r>
              <w:rPr>
                <w:rFonts w:hint="default" w:cs="Times New Roman"/>
                <w:lang w:val="en-US" w:eastAsia="zh-CN"/>
              </w:rPr>
              <w:t>业绩证明资料要求提供造价咨询合同和</w:t>
            </w:r>
            <w:r>
              <w:rPr>
                <w:rFonts w:hint="eastAsia" w:cs="Times New Roman"/>
                <w:lang w:val="en-US" w:eastAsia="zh-CN"/>
              </w:rPr>
              <w:t>《客户满意度调查表》复印件</w:t>
            </w:r>
            <w:r>
              <w:rPr>
                <w:rFonts w:hint="default" w:cs="Times New Roman"/>
                <w:lang w:val="en-US" w:eastAsia="zh-CN"/>
              </w:rPr>
              <w:t>。有效时间以合同中建设单位签字时间为准。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1058" w:type="dxa"/>
            <w:vMerge w:val="restart"/>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技术</w:t>
            </w:r>
          </w:p>
          <w:p>
            <w:pPr>
              <w:numPr>
                <w:ilvl w:val="0"/>
                <w:numId w:val="0"/>
              </w:numPr>
              <w:spacing w:line="360" w:lineRule="auto"/>
              <w:ind w:leftChars="0" w:right="130" w:rightChars="54"/>
            </w:pPr>
            <w:r>
              <w:rPr>
                <w:rFonts w:hint="eastAsia" w:cs="Times New Roman"/>
                <w:lang w:val="en-US" w:eastAsia="zh-CN"/>
              </w:rPr>
              <w:t>（权值0.40</w:t>
            </w:r>
            <w:r>
              <w:rPr>
                <w:rFonts w:hint="eastAsia" w:hAnsi="宋体"/>
                <w:szCs w:val="24"/>
              </w:rPr>
              <w:t>）</w:t>
            </w: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咨询服务目标、范围</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咨询服务目标及范围明确、具体，满足招标文件要求计8分；咨询服务目标及范围较明确、较具体，基本满足招标文件要求计5分；咨询服务目标及范围欠明确、欠具体计2分。未提供的不计分。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服务方案</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12</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结合该招标项目实际情况，造价咨询组织形式合理、结算审核服务方案科学合理、内容完整、可操作性强。评价为优秀计12分，良好计8分，一般计4分。较差的或未提供组织与服务方案的不计分。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质量进度保证措施</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结合该招标项目实际情况，制定科学、完善的质量进度控制体系、保证措施得力，且有完整的进度计划安排的，评价为优秀计8分，良好计5分，一般计2分，较差的或未提供进度计划的不计分。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综合服务能力</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投标人提供响应招标文件要求及评估工作需要的从业质量管理制度及措施，包括：执业人员管理、业务操作规程、内部稽核、限时办结、廉洁风险控制、质量绩效跟踪管理、档案管理等方面制度规定及实施措施.评价为优秀计8分，良好计5分，一般计2分，较差的或未提供相关制度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合理化建议</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4</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结合该招标项目造价咨询实际情况，合理化建议具有积极意义，具有可行性的，每条计1分，最多计4分。未提供的不计分。</w:t>
            </w:r>
          </w:p>
        </w:tc>
      </w:tr>
    </w:tbl>
    <w:p/>
    <w:tbl>
      <w:tblPr>
        <w:tblStyle w:val="19"/>
        <w:tblpPr w:leftFromText="180" w:rightFromText="180" w:vertAnchor="text" w:horzAnchor="page" w:tblpX="1287" w:tblpY="452"/>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038"/>
        <w:gridCol w:w="211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pStyle w:val="2"/>
              <w:ind w:left="0" w:leftChars="0" w:firstLine="0" w:firstLineChars="0"/>
              <w:rPr>
                <w:rFonts w:hint="eastAsia"/>
                <w:vertAlign w:val="baseline"/>
                <w:lang w:val="en-US" w:eastAsia="zh-CN"/>
              </w:rPr>
            </w:pPr>
            <w:r>
              <w:rPr>
                <w:rFonts w:hint="eastAsia"/>
                <w:vertAlign w:val="baseline"/>
                <w:lang w:val="en-US" w:eastAsia="zh-CN"/>
              </w:rPr>
              <w:t>条款号</w:t>
            </w:r>
          </w:p>
        </w:tc>
        <w:tc>
          <w:tcPr>
            <w:tcW w:w="6152" w:type="dxa"/>
            <w:gridSpan w:val="2"/>
          </w:tcPr>
          <w:p>
            <w:pPr>
              <w:pStyle w:val="2"/>
              <w:rPr>
                <w:rFonts w:hint="default"/>
                <w:vertAlign w:val="baseline"/>
                <w:lang w:val="en-US" w:eastAsia="zh-CN"/>
              </w:rPr>
            </w:pPr>
            <w:r>
              <w:rPr>
                <w:rFonts w:hint="eastAsia"/>
                <w:vertAlign w:val="baseline"/>
                <w:lang w:val="en-US" w:eastAsia="zh-CN"/>
              </w:rPr>
              <w:t>评审因素</w:t>
            </w:r>
          </w:p>
        </w:tc>
        <w:tc>
          <w:tcPr>
            <w:tcW w:w="2815" w:type="dxa"/>
          </w:tcPr>
          <w:p>
            <w:pPr>
              <w:pStyle w:val="2"/>
              <w:rPr>
                <w:rFonts w:hint="default"/>
                <w:vertAlign w:val="baseline"/>
                <w:lang w:val="en-US" w:eastAsia="zh-CN"/>
              </w:rPr>
            </w:pPr>
            <w:r>
              <w:rPr>
                <w:rFonts w:hint="eastAsia"/>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Merge w:val="restart"/>
          </w:tcPr>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default"/>
                <w:vertAlign w:val="baseline"/>
                <w:lang w:val="en-US" w:eastAsia="zh-CN"/>
              </w:rPr>
            </w:pPr>
            <w:r>
              <w:rPr>
                <w:rFonts w:hint="eastAsia"/>
                <w:vertAlign w:val="baseline"/>
                <w:lang w:val="en-US" w:eastAsia="zh-CN"/>
              </w:rPr>
              <w:t>投标报价（0.2）</w:t>
            </w:r>
          </w:p>
          <w:p>
            <w:pPr>
              <w:pStyle w:val="2"/>
              <w:ind w:left="0" w:leftChars="0" w:firstLine="0" w:firstLineChars="0"/>
              <w:rPr>
                <w:rFonts w:hint="eastAsia"/>
                <w:vertAlign w:val="baseline"/>
                <w:lang w:val="en-US" w:eastAsia="zh-CN"/>
              </w:rPr>
            </w:pPr>
          </w:p>
        </w:tc>
        <w:tc>
          <w:tcPr>
            <w:tcW w:w="8967" w:type="dxa"/>
            <w:gridSpan w:val="3"/>
          </w:tcPr>
          <w:p>
            <w:pPr>
              <w:pStyle w:val="2"/>
              <w:rPr>
                <w:rFonts w:hint="eastAsia"/>
                <w:vertAlign w:val="baseline"/>
                <w:lang w:val="en-US" w:eastAsia="zh-CN"/>
              </w:rPr>
            </w:pPr>
            <w:r>
              <w:rPr>
                <w:rFonts w:hint="eastAsia"/>
                <w:vertAlign w:val="baseline"/>
                <w:lang w:val="en-US" w:eastAsia="zh-CN"/>
              </w:rPr>
              <w:t>1. 投标报价得分，基本分100分。</w:t>
            </w:r>
          </w:p>
          <w:p>
            <w:pPr>
              <w:pStyle w:val="2"/>
              <w:rPr>
                <w:rFonts w:hint="eastAsia"/>
                <w:vertAlign w:val="baseline"/>
                <w:lang w:val="en-US" w:eastAsia="zh-CN"/>
              </w:rPr>
            </w:pPr>
            <w:r>
              <w:rPr>
                <w:rFonts w:hint="eastAsia"/>
                <w:vertAlign w:val="baseline"/>
                <w:lang w:val="en-US" w:eastAsia="zh-CN"/>
              </w:rPr>
              <w:t>2.平均价的计算：</w:t>
            </w:r>
          </w:p>
          <w:p>
            <w:pPr>
              <w:pStyle w:val="2"/>
              <w:rPr>
                <w:rFonts w:hint="eastAsia"/>
                <w:vertAlign w:val="baseline"/>
                <w:lang w:val="en-US" w:eastAsia="zh-CN"/>
              </w:rPr>
            </w:pPr>
            <w:r>
              <w:rPr>
                <w:rFonts w:hint="eastAsia"/>
                <w:vertAlign w:val="baseline"/>
                <w:lang w:val="en-US" w:eastAsia="zh-CN"/>
              </w:rPr>
              <w:t>Y——平均价</w:t>
            </w:r>
          </w:p>
          <w:p>
            <w:pPr>
              <w:pStyle w:val="2"/>
              <w:rPr>
                <w:rFonts w:hint="eastAsia"/>
                <w:vertAlign w:val="baseline"/>
                <w:lang w:val="en-US" w:eastAsia="zh-CN"/>
              </w:rPr>
            </w:pPr>
            <w:r>
              <w:rPr>
                <w:rFonts w:hint="eastAsia"/>
                <w:vertAlign w:val="baseline"/>
                <w:lang w:val="en-US" w:eastAsia="zh-CN"/>
              </w:rPr>
              <w:t>Y=（X 1 +X 2 +……X n-1 +X n ）／n</w:t>
            </w:r>
          </w:p>
          <w:p>
            <w:pPr>
              <w:pStyle w:val="2"/>
              <w:rPr>
                <w:rFonts w:hint="eastAsia"/>
                <w:vertAlign w:val="baseline"/>
                <w:lang w:val="en-US" w:eastAsia="zh-CN"/>
              </w:rPr>
            </w:pPr>
            <w:r>
              <w:rPr>
                <w:rFonts w:hint="eastAsia"/>
                <w:vertAlign w:val="baseline"/>
                <w:lang w:val="en-US" w:eastAsia="zh-CN"/>
              </w:rPr>
              <w:t>n——进入详细评审的有效投标报价个数</w:t>
            </w:r>
          </w:p>
          <w:p>
            <w:pPr>
              <w:pStyle w:val="2"/>
              <w:rPr>
                <w:rFonts w:hint="eastAsia"/>
                <w:vertAlign w:val="baseline"/>
                <w:lang w:val="en-US" w:eastAsia="zh-CN"/>
              </w:rPr>
            </w:pPr>
            <w:r>
              <w:rPr>
                <w:rFonts w:hint="eastAsia"/>
                <w:vertAlign w:val="baseline"/>
                <w:lang w:val="en-US" w:eastAsia="zh-CN"/>
              </w:rPr>
              <w:t>X 1 、X 2 、X n-1 、X n ——进入详细评审的有效投标报价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Merge w:val="continue"/>
          </w:tcPr>
          <w:p>
            <w:pPr>
              <w:pStyle w:val="2"/>
              <w:ind w:left="0" w:leftChars="0" w:firstLine="0" w:firstLineChars="0"/>
              <w:rPr>
                <w:rFonts w:hint="eastAsia"/>
                <w:vertAlign w:val="baseline"/>
                <w:lang w:val="en-US" w:eastAsia="zh-CN"/>
              </w:rPr>
            </w:pPr>
          </w:p>
        </w:tc>
        <w:tc>
          <w:tcPr>
            <w:tcW w:w="4038" w:type="dxa"/>
          </w:tcPr>
          <w:p>
            <w:pPr>
              <w:pStyle w:val="2"/>
              <w:rPr>
                <w:rFonts w:hint="eastAsia"/>
                <w:vertAlign w:val="baseline"/>
                <w:lang w:val="en-US" w:eastAsia="zh-CN"/>
              </w:rPr>
            </w:pPr>
            <w:r>
              <w:rPr>
                <w:rFonts w:hint="eastAsia"/>
                <w:vertAlign w:val="baseline"/>
                <w:lang w:val="en-US" w:eastAsia="zh-CN"/>
              </w:rPr>
              <w:t>评审标准</w:t>
            </w:r>
          </w:p>
        </w:tc>
        <w:tc>
          <w:tcPr>
            <w:tcW w:w="2114" w:type="dxa"/>
          </w:tcPr>
          <w:p>
            <w:pPr>
              <w:pStyle w:val="2"/>
              <w:rPr>
                <w:rFonts w:hint="eastAsia"/>
                <w:vertAlign w:val="baseline"/>
                <w:lang w:val="en-US" w:eastAsia="zh-CN"/>
              </w:rPr>
            </w:pPr>
            <w:r>
              <w:rPr>
                <w:rFonts w:hint="eastAsia"/>
                <w:vertAlign w:val="baseline"/>
                <w:lang w:val="en-US" w:eastAsia="zh-CN"/>
              </w:rPr>
              <w:t>计分方式</w:t>
            </w:r>
          </w:p>
        </w:tc>
        <w:tc>
          <w:tcPr>
            <w:tcW w:w="2815" w:type="dxa"/>
          </w:tcPr>
          <w:p>
            <w:pPr>
              <w:pStyle w:val="2"/>
              <w:rPr>
                <w:rFonts w:hint="eastAsia"/>
                <w:vertAlign w:val="baseline"/>
                <w:lang w:val="en-US" w:eastAsia="zh-CN"/>
              </w:rPr>
            </w:pPr>
            <w:r>
              <w:rPr>
                <w:rFonts w:hint="eastAsia"/>
                <w:vertAlign w:val="baseline"/>
                <w:lang w:val="en-US" w:eastAsia="zh-CN"/>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ind w:left="0" w:leftChars="0" w:firstLine="0" w:firstLineChars="0"/>
              <w:rPr>
                <w:rFonts w:hint="eastAsia"/>
                <w:vertAlign w:val="baseline"/>
                <w:lang w:val="en-US" w:eastAsia="zh-CN"/>
              </w:rPr>
            </w:pPr>
          </w:p>
        </w:tc>
        <w:tc>
          <w:tcPr>
            <w:tcW w:w="4038" w:type="dxa"/>
          </w:tcPr>
          <w:p>
            <w:pPr>
              <w:pStyle w:val="2"/>
              <w:ind w:left="0" w:leftChars="0" w:firstLine="0" w:firstLineChars="0"/>
              <w:jc w:val="center"/>
              <w:rPr>
                <w:rFonts w:hint="default"/>
                <w:vertAlign w:val="baseline"/>
                <w:lang w:val="en-US" w:eastAsia="zh-CN"/>
              </w:rPr>
            </w:pPr>
            <w:r>
              <w:drawing>
                <wp:inline distT="0" distB="0" distL="114300" distR="114300">
                  <wp:extent cx="2038350" cy="409575"/>
                  <wp:effectExtent l="0" t="0" r="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038350"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95-5</w:t>
            </w:r>
            <w:r>
              <w:rPr>
                <w:rFonts w:hint="default" w:ascii="Arial" w:hAnsi="Arial" w:cs="Arial"/>
                <w:vertAlign w:val="baseline"/>
                <w:lang w:val="en-US" w:eastAsia="zh-CN"/>
              </w:rPr>
              <w:t>×</w:t>
            </w:r>
            <w:r>
              <w:rPr>
                <w:rFonts w:hint="eastAsia"/>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L-5</w:t>
            </w:r>
            <w:r>
              <w:rPr>
                <w:rFonts w:hint="eastAsia"/>
                <w:vertAlign w:val="baseline"/>
                <w:lang w:val="en-US" w:eastAsia="zh-CN"/>
              </w:rPr>
              <w:t>）</w:t>
            </w:r>
          </w:p>
        </w:tc>
        <w:tc>
          <w:tcPr>
            <w:tcW w:w="2815" w:type="dxa"/>
            <w:vMerge w:val="restart"/>
          </w:tcPr>
          <w:p>
            <w:pPr>
              <w:pStyle w:val="2"/>
              <w:ind w:left="0" w:leftChars="0" w:firstLine="0" w:firstLineChars="0"/>
              <w:rPr>
                <w:rFonts w:hint="default"/>
                <w:vertAlign w:val="baseline"/>
                <w:lang w:val="en-US" w:eastAsia="zh-CN"/>
              </w:rPr>
            </w:pPr>
            <w:r>
              <w:drawing>
                <wp:inline distT="0" distB="0" distL="114300" distR="114300">
                  <wp:extent cx="1732280" cy="405765"/>
                  <wp:effectExtent l="0" t="0" r="5080" b="508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5"/>
                          <a:stretch>
                            <a:fillRect/>
                          </a:stretch>
                        </pic:blipFill>
                        <pic:spPr>
                          <a:xfrm>
                            <a:off x="0" y="0"/>
                            <a:ext cx="1732280" cy="4057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257425" cy="409575"/>
                  <wp:effectExtent l="0" t="0" r="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2257425"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100-1</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rPr>
                <w:rFonts w:hint="eastAsia"/>
                <w:vertAlign w:val="baseline"/>
                <w:lang w:val="en-US" w:eastAsia="zh-CN"/>
              </w:rPr>
              <w:t>投标报价=平均价</w:t>
            </w:r>
          </w:p>
        </w:tc>
        <w:tc>
          <w:tcPr>
            <w:tcW w:w="2114" w:type="dxa"/>
          </w:tcPr>
          <w:p>
            <w:pPr>
              <w:pStyle w:val="2"/>
              <w:rPr>
                <w:rFonts w:hint="default"/>
                <w:vertAlign w:val="baseline"/>
                <w:lang w:val="en-US" w:eastAsia="zh-CN"/>
              </w:rPr>
            </w:pPr>
            <w:r>
              <w:rPr>
                <w:rFonts w:hint="eastAsia"/>
                <w:vertAlign w:val="baseline"/>
                <w:lang w:val="en-US" w:eastAsia="zh-CN"/>
              </w:rPr>
              <w:t>100</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333625" cy="409575"/>
                  <wp:effectExtent l="0" t="0" r="0" b="190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7"/>
                          <a:stretch>
                            <a:fillRect/>
                          </a:stretch>
                        </pic:blipFill>
                        <pic:spPr>
                          <a:xfrm>
                            <a:off x="0" y="0"/>
                            <a:ext cx="2333625"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10</w:t>
            </w:r>
            <w:r>
              <w:rPr>
                <w:rFonts w:hint="eastAsia"/>
                <w:position w:val="-30"/>
                <w:vertAlign w:val="baseline"/>
                <w:lang w:val="en-US" w:eastAsia="zh-CN"/>
              </w:rPr>
              <w:t>0</w:t>
            </w:r>
            <w:r>
              <w:rPr>
                <w:rFonts w:hint="eastAsia"/>
                <w:vertAlign w:val="baseline"/>
                <w:lang w:val="en-US" w:eastAsia="zh-CN"/>
              </w:rPr>
              <w:t>-1</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114550" cy="409575"/>
                  <wp:effectExtent l="0" t="0" r="0" b="190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8"/>
                          <a:stretch>
                            <a:fillRect/>
                          </a:stretch>
                        </pic:blipFill>
                        <pic:spPr>
                          <a:xfrm>
                            <a:off x="0" y="0"/>
                            <a:ext cx="2114550"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95-5</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L-5)</w:t>
            </w:r>
          </w:p>
        </w:tc>
        <w:tc>
          <w:tcPr>
            <w:tcW w:w="2815" w:type="dxa"/>
            <w:vMerge w:val="continue"/>
          </w:tcPr>
          <w:p>
            <w:pPr>
              <w:pStyle w:val="2"/>
              <w:rPr>
                <w:rFonts w:hint="default"/>
                <w:vertAlign w:val="baseline"/>
                <w:lang w:val="en-US" w:eastAsia="zh-CN"/>
              </w:rPr>
            </w:pPr>
          </w:p>
        </w:tc>
      </w:tr>
    </w:tbl>
    <w:p>
      <w:pPr>
        <w:autoSpaceDE w:val="0"/>
        <w:autoSpaceDN w:val="0"/>
        <w:adjustRightInd w:val="0"/>
        <w:spacing w:line="360" w:lineRule="auto"/>
        <w:rPr>
          <w:b/>
          <w:bCs/>
          <w:szCs w:val="21"/>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r>
        <w:rPr>
          <w:rFonts w:hint="default" w:cs="宋体"/>
          <w:b/>
          <w:bCs/>
          <w:sz w:val="30"/>
          <w:szCs w:val="30"/>
        </w:rPr>
        <w:t>评标办法</w:t>
      </w:r>
    </w:p>
    <w:p>
      <w:pPr>
        <w:widowControl/>
        <w:spacing w:line="360" w:lineRule="auto"/>
        <w:ind w:firstLine="480" w:firstLineChars="200"/>
        <w:jc w:val="left"/>
        <w:rPr>
          <w:rFonts w:hint="default" w:cs="宋体"/>
        </w:rPr>
      </w:pPr>
      <w:r>
        <w:rPr>
          <w:rFonts w:hint="default" w:cs="宋体"/>
        </w:rPr>
        <w:t>本次评标按照《湖南省房屋建筑和市政基础设施工程造价咨询招标评标暂行办法》（湘建监督 ﹝ 2019 ﹞ 249 号）规定的“综合评估法”。评标委员会对满足招标文件实质要求的投标文件，根据规定的评分标准进行评审计分，并按评标总得分由高到低的顺序推荐中标候选人。</w:t>
      </w:r>
    </w:p>
    <w:p>
      <w:pPr>
        <w:widowControl/>
        <w:spacing w:line="360" w:lineRule="auto"/>
        <w:jc w:val="left"/>
        <w:rPr>
          <w:rFonts w:hint="default" w:cs="宋体"/>
        </w:rPr>
      </w:pPr>
      <w:r>
        <w:rPr>
          <w:rFonts w:hint="default" w:cs="宋体"/>
        </w:rPr>
        <w:t>1.评审标准</w:t>
      </w:r>
    </w:p>
    <w:p>
      <w:pPr>
        <w:widowControl/>
        <w:spacing w:line="360" w:lineRule="auto"/>
        <w:jc w:val="left"/>
        <w:rPr>
          <w:rFonts w:hint="default" w:cs="宋体"/>
        </w:rPr>
      </w:pPr>
      <w:r>
        <w:rPr>
          <w:rFonts w:hint="default" w:cs="宋体"/>
        </w:rPr>
        <w:t>1.1初步评审标准</w:t>
      </w:r>
    </w:p>
    <w:p>
      <w:pPr>
        <w:widowControl/>
        <w:spacing w:line="360" w:lineRule="auto"/>
        <w:jc w:val="left"/>
        <w:rPr>
          <w:rFonts w:hint="default" w:cs="宋体"/>
        </w:rPr>
      </w:pPr>
      <w:r>
        <w:rPr>
          <w:rFonts w:hint="default" w:cs="宋体"/>
        </w:rPr>
        <w:t>1.1.1形式评审标准：见评标办法前附表。</w:t>
      </w:r>
    </w:p>
    <w:p>
      <w:pPr>
        <w:widowControl/>
        <w:spacing w:line="360" w:lineRule="auto"/>
        <w:jc w:val="left"/>
        <w:rPr>
          <w:rFonts w:hint="default" w:cs="宋体"/>
        </w:rPr>
      </w:pPr>
      <w:r>
        <w:rPr>
          <w:rFonts w:hint="default" w:cs="宋体"/>
        </w:rPr>
        <w:t>1.1.2资格评审标准： 见评标办法前附表。</w:t>
      </w:r>
    </w:p>
    <w:p>
      <w:pPr>
        <w:widowControl/>
        <w:spacing w:line="360" w:lineRule="auto"/>
        <w:jc w:val="left"/>
        <w:rPr>
          <w:rFonts w:hint="default" w:cs="宋体"/>
        </w:rPr>
      </w:pPr>
      <w:r>
        <w:rPr>
          <w:rFonts w:hint="default" w:cs="宋体"/>
        </w:rPr>
        <w:t>1.1.3响应性评审标准：见评标办法前附表。</w:t>
      </w:r>
    </w:p>
    <w:p>
      <w:pPr>
        <w:widowControl/>
        <w:spacing w:line="360" w:lineRule="auto"/>
        <w:jc w:val="left"/>
        <w:rPr>
          <w:rFonts w:hint="default" w:cs="宋体"/>
        </w:rPr>
      </w:pPr>
      <w:r>
        <w:rPr>
          <w:rFonts w:hint="default" w:cs="宋体"/>
        </w:rPr>
        <w:t>1.2评分标准与权值构成</w:t>
      </w:r>
    </w:p>
    <w:p>
      <w:pPr>
        <w:widowControl/>
        <w:spacing w:line="360" w:lineRule="auto"/>
        <w:jc w:val="left"/>
        <w:rPr>
          <w:rFonts w:hint="default" w:cs="宋体"/>
        </w:rPr>
      </w:pPr>
      <w:r>
        <w:rPr>
          <w:rFonts w:hint="default" w:cs="宋体"/>
        </w:rPr>
        <w:t>1.2.1评分标准</w:t>
      </w:r>
    </w:p>
    <w:p>
      <w:pPr>
        <w:widowControl/>
        <w:spacing w:line="360" w:lineRule="auto"/>
        <w:jc w:val="left"/>
        <w:rPr>
          <w:rFonts w:hint="default" w:cs="宋体"/>
        </w:rPr>
      </w:pPr>
      <w:r>
        <w:rPr>
          <w:rFonts w:hint="default" w:cs="宋体"/>
        </w:rPr>
        <w:t>（l）咨询服务方案：见评标办法前附表；</w:t>
      </w:r>
    </w:p>
    <w:p>
      <w:pPr>
        <w:widowControl/>
        <w:spacing w:line="360" w:lineRule="auto"/>
        <w:jc w:val="left"/>
        <w:rPr>
          <w:rFonts w:hint="default" w:cs="宋体"/>
        </w:rPr>
      </w:pPr>
      <w:r>
        <w:rPr>
          <w:rFonts w:hint="default" w:cs="宋体"/>
        </w:rPr>
        <w:t>（2）企业综合实力：见评标办法前附表；</w:t>
      </w:r>
    </w:p>
    <w:p>
      <w:pPr>
        <w:widowControl/>
        <w:spacing w:line="360" w:lineRule="auto"/>
        <w:jc w:val="left"/>
        <w:rPr>
          <w:rFonts w:hint="default" w:cs="宋体"/>
        </w:rPr>
      </w:pPr>
      <w:r>
        <w:rPr>
          <w:rFonts w:hint="default" w:cs="宋体"/>
        </w:rPr>
        <w:t>（3）项目团队：见评标办法前附表；</w:t>
      </w:r>
    </w:p>
    <w:p>
      <w:pPr>
        <w:widowControl/>
        <w:spacing w:line="360" w:lineRule="auto"/>
        <w:jc w:val="left"/>
        <w:rPr>
          <w:rFonts w:hint="default" w:cs="宋体"/>
        </w:rPr>
      </w:pPr>
      <w:r>
        <w:rPr>
          <w:rFonts w:hint="default" w:cs="宋体"/>
        </w:rPr>
        <w:t>（4）投标报价：见评标办法前附表。</w:t>
      </w:r>
    </w:p>
    <w:p>
      <w:pPr>
        <w:widowControl/>
        <w:spacing w:line="360" w:lineRule="auto"/>
        <w:jc w:val="left"/>
        <w:rPr>
          <w:rFonts w:hint="default" w:cs="宋体"/>
        </w:rPr>
      </w:pPr>
      <w:r>
        <w:rPr>
          <w:rFonts w:hint="default" w:cs="宋体"/>
        </w:rPr>
        <w:t>1.2.2权值构成</w:t>
      </w:r>
    </w:p>
    <w:p>
      <w:pPr>
        <w:widowControl/>
        <w:spacing w:line="360" w:lineRule="auto"/>
        <w:jc w:val="left"/>
        <w:rPr>
          <w:rFonts w:hint="default" w:cs="宋体"/>
        </w:rPr>
      </w:pPr>
      <w:r>
        <w:rPr>
          <w:rFonts w:hint="default" w:cs="宋体"/>
        </w:rPr>
        <w:t>见评标办法前附表。</w:t>
      </w:r>
    </w:p>
    <w:p>
      <w:pPr>
        <w:widowControl/>
        <w:spacing w:line="360" w:lineRule="auto"/>
        <w:jc w:val="left"/>
        <w:rPr>
          <w:rFonts w:hint="default" w:cs="宋体"/>
        </w:rPr>
      </w:pPr>
      <w:r>
        <w:rPr>
          <w:rFonts w:hint="default" w:cs="宋体"/>
        </w:rPr>
        <w:t>2.评审程序</w:t>
      </w:r>
    </w:p>
    <w:p>
      <w:pPr>
        <w:widowControl/>
        <w:spacing w:line="360" w:lineRule="auto"/>
        <w:jc w:val="left"/>
        <w:rPr>
          <w:rFonts w:hint="default" w:cs="宋体"/>
        </w:rPr>
      </w:pPr>
      <w:r>
        <w:rPr>
          <w:rFonts w:hint="default" w:cs="宋体"/>
        </w:rPr>
        <w:t>2.1初步评审</w:t>
      </w:r>
    </w:p>
    <w:p>
      <w:pPr>
        <w:widowControl/>
        <w:spacing w:line="360" w:lineRule="auto"/>
        <w:jc w:val="left"/>
        <w:rPr>
          <w:rFonts w:hint="default" w:cs="宋体"/>
        </w:rPr>
      </w:pPr>
      <w:r>
        <w:rPr>
          <w:rFonts w:hint="default" w:cs="宋体"/>
        </w:rPr>
        <w:t>2.1.1评标委员会按评标办法第 1.1 项规定的标准对投标文件进行初步评审。有一项</w:t>
      </w:r>
    </w:p>
    <w:p>
      <w:pPr>
        <w:widowControl/>
        <w:spacing w:line="360" w:lineRule="auto"/>
        <w:jc w:val="left"/>
        <w:rPr>
          <w:rFonts w:hint="default" w:cs="宋体"/>
        </w:rPr>
      </w:pPr>
      <w:r>
        <w:rPr>
          <w:rFonts w:hint="default" w:cs="宋体"/>
        </w:rPr>
        <w:t>不符合评审标准的，应当予以否决。</w:t>
      </w:r>
    </w:p>
    <w:p>
      <w:pPr>
        <w:widowControl/>
        <w:spacing w:line="360" w:lineRule="auto"/>
        <w:jc w:val="left"/>
        <w:rPr>
          <w:rFonts w:hint="default" w:cs="宋体"/>
        </w:rPr>
      </w:pPr>
      <w:r>
        <w:rPr>
          <w:rFonts w:hint="default" w:cs="宋体"/>
        </w:rPr>
        <w:t>2.1.2 评标委员会对投标人提交招标文件规定的资格后审资料的进行核验。投标人未</w:t>
      </w:r>
    </w:p>
    <w:p>
      <w:pPr>
        <w:widowControl/>
        <w:spacing w:line="360" w:lineRule="auto"/>
        <w:jc w:val="left"/>
        <w:rPr>
          <w:rFonts w:hint="default" w:cs="宋体"/>
        </w:rPr>
      </w:pPr>
      <w:r>
        <w:rPr>
          <w:rFonts w:hint="default" w:cs="宋体"/>
        </w:rPr>
        <w:t>按要求提供或提供不齐全或审查不合格的，由评标委员会认定为资格审查不合格，为不合格投标人，应当予以否决。</w:t>
      </w:r>
    </w:p>
    <w:p>
      <w:pPr>
        <w:widowControl/>
        <w:spacing w:line="360" w:lineRule="auto"/>
        <w:jc w:val="left"/>
        <w:rPr>
          <w:rFonts w:hint="default" w:cs="宋体"/>
        </w:rPr>
      </w:pPr>
      <w:r>
        <w:rPr>
          <w:rFonts w:hint="default" w:cs="宋体"/>
        </w:rPr>
        <w:t>2.2详细评审</w:t>
      </w:r>
    </w:p>
    <w:p>
      <w:pPr>
        <w:widowControl/>
        <w:spacing w:line="360" w:lineRule="auto"/>
        <w:jc w:val="left"/>
        <w:rPr>
          <w:rFonts w:hint="default" w:cs="宋体"/>
        </w:rPr>
      </w:pPr>
      <w:r>
        <w:rPr>
          <w:rFonts w:hint="default" w:cs="宋体"/>
        </w:rPr>
        <w:t>评标委员会按评标办法第 1.2 项规定的评审因素和标准进行评审计分，并计算出投标</w:t>
      </w:r>
    </w:p>
    <w:p>
      <w:pPr>
        <w:widowControl/>
        <w:spacing w:line="360" w:lineRule="auto"/>
        <w:jc w:val="left"/>
        <w:rPr>
          <w:rFonts w:hint="default" w:cs="宋体"/>
        </w:rPr>
      </w:pPr>
      <w:r>
        <w:rPr>
          <w:rFonts w:hint="default" w:cs="宋体"/>
        </w:rPr>
        <w:t>人评标总得分。</w:t>
      </w:r>
    </w:p>
    <w:p>
      <w:pPr>
        <w:widowControl/>
        <w:spacing w:line="360" w:lineRule="auto"/>
        <w:jc w:val="left"/>
        <w:rPr>
          <w:rFonts w:hint="default" w:cs="宋体"/>
        </w:rPr>
      </w:pPr>
      <w:r>
        <w:rPr>
          <w:rFonts w:hint="default" w:cs="宋体"/>
        </w:rPr>
        <w:t>2.3投标文件的澄清和补正</w:t>
      </w:r>
    </w:p>
    <w:p>
      <w:pPr>
        <w:widowControl/>
        <w:spacing w:line="360" w:lineRule="auto"/>
        <w:jc w:val="left"/>
        <w:rPr>
          <w:rFonts w:hint="default" w:cs="宋体"/>
        </w:rPr>
      </w:pPr>
      <w:r>
        <w:rPr>
          <w:rFonts w:hint="default" w:cs="宋体"/>
        </w:rPr>
        <w:t>2.3.1在评标过程中，评标委员会可以书面形式要求投标人对所提交的投标文件中不明</w:t>
      </w:r>
    </w:p>
    <w:p>
      <w:pPr>
        <w:widowControl/>
        <w:spacing w:line="360" w:lineRule="auto"/>
        <w:jc w:val="left"/>
        <w:rPr>
          <w:rFonts w:hint="default" w:cs="宋体"/>
        </w:rPr>
      </w:pPr>
      <w:r>
        <w:rPr>
          <w:rFonts w:hint="default" w:cs="宋体"/>
        </w:rPr>
        <w:t>确的内容进行书面澄清或说明，或者对细微偏差进行补正。评标委员会不接受投标人主动提出的澄清、说明或补正。</w:t>
      </w:r>
    </w:p>
    <w:p>
      <w:pPr>
        <w:widowControl/>
        <w:spacing w:line="360" w:lineRule="auto"/>
        <w:jc w:val="left"/>
        <w:rPr>
          <w:rFonts w:hint="default" w:cs="宋体"/>
        </w:rPr>
      </w:pPr>
      <w:r>
        <w:rPr>
          <w:rFonts w:hint="default" w:cs="宋体"/>
        </w:rPr>
        <w:t>2.3.2澄清、说明和补正不得改变投标文件的实质性内容（算术性错误修正的除外）。</w:t>
      </w:r>
    </w:p>
    <w:p>
      <w:pPr>
        <w:widowControl/>
        <w:spacing w:line="360" w:lineRule="auto"/>
        <w:jc w:val="left"/>
        <w:rPr>
          <w:rFonts w:hint="default" w:cs="宋体"/>
        </w:rPr>
      </w:pPr>
      <w:r>
        <w:rPr>
          <w:rFonts w:hint="default" w:cs="宋体"/>
        </w:rPr>
        <w:t>投标人的书面澄清、说明和补正属于投标文件的组成部分。</w:t>
      </w:r>
    </w:p>
    <w:p>
      <w:pPr>
        <w:widowControl/>
        <w:spacing w:line="360" w:lineRule="auto"/>
        <w:jc w:val="left"/>
        <w:rPr>
          <w:rFonts w:hint="default" w:cs="宋体"/>
        </w:rPr>
      </w:pPr>
      <w:r>
        <w:rPr>
          <w:rFonts w:hint="default" w:cs="宋体"/>
        </w:rPr>
        <w:t>2.3.3评标委员会对投标人提交的澄清、说明或补正有疑问的，可以要求投标人进一步</w:t>
      </w:r>
    </w:p>
    <w:p>
      <w:pPr>
        <w:widowControl/>
        <w:spacing w:line="360" w:lineRule="auto"/>
        <w:jc w:val="left"/>
        <w:rPr>
          <w:rFonts w:hint="default" w:cs="宋体"/>
        </w:rPr>
      </w:pPr>
      <w:r>
        <w:rPr>
          <w:rFonts w:hint="default" w:cs="宋体"/>
        </w:rPr>
        <w:t>澄清、说明或补正，直至满足评标委员会的要求。</w:t>
      </w:r>
    </w:p>
    <w:p>
      <w:pPr>
        <w:widowControl/>
        <w:spacing w:line="360" w:lineRule="auto"/>
        <w:jc w:val="left"/>
        <w:rPr>
          <w:rFonts w:hint="default" w:cs="宋体"/>
        </w:rPr>
      </w:pPr>
      <w:r>
        <w:rPr>
          <w:rFonts w:hint="default" w:cs="宋体"/>
        </w:rPr>
        <w:t>3.评标结果</w:t>
      </w:r>
    </w:p>
    <w:p>
      <w:pPr>
        <w:widowControl/>
        <w:spacing w:line="360" w:lineRule="auto"/>
        <w:jc w:val="left"/>
        <w:rPr>
          <w:rFonts w:hint="default" w:cs="宋体"/>
        </w:rPr>
      </w:pPr>
      <w:r>
        <w:rPr>
          <w:rFonts w:hint="default" w:cs="宋体"/>
        </w:rPr>
        <w:t>3.1评标委员会按照按评标总得分由高到低的顺序推荐中标候选人。投标人评标总得分</w:t>
      </w:r>
    </w:p>
    <w:p>
      <w:pPr>
        <w:widowControl/>
        <w:spacing w:line="360" w:lineRule="auto"/>
        <w:jc w:val="left"/>
        <w:rPr>
          <w:rFonts w:hint="default" w:cs="宋体"/>
        </w:rPr>
      </w:pPr>
      <w:r>
        <w:rPr>
          <w:rFonts w:hint="default" w:cs="宋体"/>
        </w:rPr>
        <w:t>相同时， 依次按照其投标报价由低至高排序，投标报价亦相同时，按评委票决顺序确定。</w:t>
      </w:r>
    </w:p>
    <w:p>
      <w:pPr>
        <w:widowControl/>
        <w:spacing w:line="360" w:lineRule="auto"/>
        <w:jc w:val="left"/>
        <w:rPr>
          <w:rFonts w:hint="default" w:cs="宋体"/>
        </w:rPr>
      </w:pPr>
      <w:r>
        <w:rPr>
          <w:rFonts w:hint="default" w:cs="宋体"/>
        </w:rPr>
        <w:t>3.2评标委员会完成评标后，向招标人提交书面评标报告。</w:t>
      </w:r>
    </w:p>
    <w:p>
      <w:pPr>
        <w:widowControl/>
        <w:spacing w:line="360" w:lineRule="auto"/>
        <w:jc w:val="left"/>
        <w:rPr>
          <w:rFonts w:hint="default" w:cs="宋体"/>
        </w:rPr>
      </w:pPr>
      <w:r>
        <w:rPr>
          <w:rFonts w:hint="default" w:cs="宋体"/>
        </w:rPr>
        <w:t>4. 中标原则：</w:t>
      </w:r>
    </w:p>
    <w:p>
      <w:pPr>
        <w:widowControl/>
        <w:spacing w:line="360" w:lineRule="auto"/>
        <w:jc w:val="left"/>
        <w:rPr>
          <w:rFonts w:hint="default" w:cs="宋体"/>
        </w:rPr>
      </w:pPr>
      <w:r>
        <w:rPr>
          <w:rFonts w:hint="default" w:cs="宋体"/>
        </w:rPr>
        <w:t>评标委员会推荐不超过3 3 个有排序的中标候选人，经公示无异议后，确定排名第</w:t>
      </w:r>
    </w:p>
    <w:p>
      <w:pPr>
        <w:widowControl/>
        <w:spacing w:line="360" w:lineRule="auto"/>
        <w:jc w:val="left"/>
        <w:rPr>
          <w:rFonts w:hint="default" w:cs="宋体"/>
        </w:rPr>
      </w:pPr>
      <w:r>
        <w:rPr>
          <w:rFonts w:hint="default" w:cs="宋体"/>
        </w:rPr>
        <w:t>一的中标候选人为中标人。 排名第一的中标候选人放弃中标、因不可抗力不能履行合</w:t>
      </w:r>
    </w:p>
    <w:p>
      <w:pPr>
        <w:widowControl/>
        <w:spacing w:line="360" w:lineRule="auto"/>
        <w:jc w:val="left"/>
        <w:rPr>
          <w:rFonts w:hint="default" w:cs="宋体"/>
        </w:rPr>
      </w:pPr>
      <w:r>
        <w:rPr>
          <w:rFonts w:hint="default" w:cs="宋体"/>
        </w:rPr>
        <w:t>同、不按照招标文件要求提交履约保证金，或者被查实存在影响中标结果的违法行为等</w:t>
      </w:r>
    </w:p>
    <w:p>
      <w:pPr>
        <w:widowControl/>
        <w:spacing w:line="360" w:lineRule="auto"/>
        <w:jc w:val="left"/>
        <w:rPr>
          <w:rFonts w:hint="default" w:cs="宋体"/>
        </w:rPr>
      </w:pPr>
      <w:r>
        <w:rPr>
          <w:rFonts w:hint="default" w:cs="宋体"/>
        </w:rPr>
        <w:t>情形，不符合中标条件的，招标人可以按照评标委员会提出的中标候选人名单排序依次</w:t>
      </w:r>
    </w:p>
    <w:p>
      <w:pPr>
        <w:widowControl/>
        <w:spacing w:line="360" w:lineRule="auto"/>
        <w:jc w:val="left"/>
        <w:rPr>
          <w:rFonts w:hint="default" w:cs="宋体"/>
        </w:rPr>
      </w:pPr>
      <w:r>
        <w:rPr>
          <w:rFonts w:hint="default" w:cs="宋体"/>
        </w:rPr>
        <w:t>确定其他中标候选人为中标人，也可以重新招标。</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r>
        <w:rPr>
          <w:rFonts w:hint="default" w:cs="宋体"/>
        </w:rPr>
        <w:t>附件 3-1：评标详细程序</w:t>
      </w:r>
    </w:p>
    <w:p>
      <w:pPr>
        <w:pStyle w:val="2"/>
        <w:jc w:val="center"/>
        <w:rPr>
          <w:rFonts w:hint="default" w:cs="宋体"/>
        </w:rPr>
      </w:pPr>
      <w:r>
        <w:rPr>
          <w:rFonts w:hint="default" w:cs="宋体"/>
        </w:rPr>
        <w:t>评标详细程序</w:t>
      </w:r>
    </w:p>
    <w:p>
      <w:pPr>
        <w:pStyle w:val="2"/>
        <w:rPr>
          <w:rFonts w:hint="default" w:cs="宋体"/>
        </w:rPr>
      </w:pPr>
      <w:r>
        <w:rPr>
          <w:rFonts w:hint="default" w:cs="宋体"/>
        </w:rPr>
        <w:t>本附件是评标办法的组成部分，是对本评标办法规定的评审程序的进一步细化，评标委员会应当按照本附件规定开展评标工作。</w:t>
      </w:r>
    </w:p>
    <w:p>
      <w:pPr>
        <w:pStyle w:val="2"/>
        <w:rPr>
          <w:rFonts w:hint="default" w:cs="宋体"/>
        </w:rPr>
      </w:pPr>
      <w:r>
        <w:rPr>
          <w:rFonts w:hint="default" w:cs="宋体"/>
        </w:rPr>
        <w:t>1、基本程序</w:t>
      </w:r>
    </w:p>
    <w:p>
      <w:pPr>
        <w:pStyle w:val="2"/>
        <w:rPr>
          <w:rFonts w:hint="default" w:cs="宋体"/>
        </w:rPr>
      </w:pPr>
      <w:r>
        <w:rPr>
          <w:rFonts w:hint="default" w:cs="宋体"/>
        </w:rPr>
        <w:t>评标活动将按以下五个步骤进行：</w:t>
      </w:r>
    </w:p>
    <w:p>
      <w:pPr>
        <w:pStyle w:val="2"/>
        <w:rPr>
          <w:rFonts w:hint="default" w:cs="宋体"/>
        </w:rPr>
      </w:pPr>
      <w:r>
        <w:rPr>
          <w:rFonts w:hint="default" w:cs="宋体"/>
        </w:rPr>
        <w:t>（1）评标准备；</w:t>
      </w:r>
    </w:p>
    <w:p>
      <w:pPr>
        <w:pStyle w:val="2"/>
        <w:rPr>
          <w:rFonts w:hint="default" w:cs="宋体"/>
        </w:rPr>
      </w:pPr>
      <w:r>
        <w:rPr>
          <w:rFonts w:hint="default" w:cs="宋体"/>
        </w:rPr>
        <w:t>（2）初步评审：</w:t>
      </w:r>
    </w:p>
    <w:p>
      <w:pPr>
        <w:pStyle w:val="2"/>
        <w:rPr>
          <w:rFonts w:hint="default" w:cs="宋体"/>
        </w:rPr>
      </w:pPr>
      <w:r>
        <w:rPr>
          <w:rFonts w:hint="default" w:cs="宋体"/>
        </w:rPr>
        <w:t>（3）详细评审；</w:t>
      </w:r>
    </w:p>
    <w:p>
      <w:pPr>
        <w:pStyle w:val="2"/>
        <w:rPr>
          <w:rFonts w:hint="default" w:cs="宋体"/>
        </w:rPr>
      </w:pPr>
      <w:r>
        <w:rPr>
          <w:rFonts w:hint="default" w:cs="宋体"/>
        </w:rPr>
        <w:t>（4）澄清、说明或补正；</w:t>
      </w:r>
    </w:p>
    <w:p>
      <w:pPr>
        <w:pStyle w:val="2"/>
        <w:rPr>
          <w:rFonts w:hint="default" w:cs="宋体"/>
        </w:rPr>
      </w:pPr>
      <w:r>
        <w:rPr>
          <w:rFonts w:hint="default" w:cs="宋体"/>
        </w:rPr>
        <w:t>（5）推荐中标候选人及提交评标报告。</w:t>
      </w:r>
    </w:p>
    <w:p>
      <w:pPr>
        <w:pStyle w:val="2"/>
        <w:rPr>
          <w:rFonts w:hint="default" w:cs="宋体"/>
        </w:rPr>
      </w:pPr>
      <w:r>
        <w:rPr>
          <w:rFonts w:hint="default" w:cs="宋体"/>
        </w:rPr>
        <w:t>2.评标准备</w:t>
      </w:r>
    </w:p>
    <w:p>
      <w:pPr>
        <w:pStyle w:val="2"/>
        <w:rPr>
          <w:rFonts w:hint="default" w:cs="宋体"/>
        </w:rPr>
      </w:pPr>
      <w:r>
        <w:rPr>
          <w:rFonts w:hint="default" w:cs="宋体"/>
        </w:rPr>
        <w:t>2.1评标委员会成员签到</w:t>
      </w:r>
    </w:p>
    <w:p>
      <w:pPr>
        <w:pStyle w:val="2"/>
        <w:rPr>
          <w:rFonts w:hint="default" w:cs="宋体"/>
        </w:rPr>
      </w:pPr>
      <w:r>
        <w:rPr>
          <w:rFonts w:hint="default" w:cs="宋体"/>
        </w:rPr>
        <w:t>评标委员会成员到达评标现场时应在签到表上签到以证明其出席。</w:t>
      </w:r>
    </w:p>
    <w:p>
      <w:pPr>
        <w:pStyle w:val="2"/>
        <w:rPr>
          <w:rFonts w:hint="default" w:cs="宋体"/>
        </w:rPr>
      </w:pPr>
      <w:r>
        <w:rPr>
          <w:rFonts w:hint="default" w:cs="宋体"/>
        </w:rPr>
        <w:t>2.2评标委员会的分工</w:t>
      </w:r>
    </w:p>
    <w:p>
      <w:pPr>
        <w:pStyle w:val="2"/>
        <w:rPr>
          <w:rFonts w:hint="default" w:cs="宋体"/>
        </w:rPr>
      </w:pPr>
      <w:r>
        <w:rPr>
          <w:rFonts w:hint="default" w:cs="宋体"/>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pStyle w:val="2"/>
        <w:rPr>
          <w:rFonts w:hint="default" w:cs="宋体"/>
        </w:rPr>
      </w:pPr>
      <w:r>
        <w:rPr>
          <w:rFonts w:hint="default" w:cs="宋体"/>
        </w:rPr>
        <w:t>2.3熟悉文件资料</w:t>
      </w:r>
    </w:p>
    <w:p>
      <w:pPr>
        <w:pStyle w:val="2"/>
        <w:rPr>
          <w:rFonts w:hint="default" w:cs="宋体"/>
        </w:rPr>
      </w:pPr>
      <w:r>
        <w:rPr>
          <w:rFonts w:hint="default" w:cs="宋体"/>
        </w:rPr>
        <w:t>2.3.1评标委员会主任应组织评标委员会成员认真研究招标文件，了解和熟悉招标目</w:t>
      </w:r>
    </w:p>
    <w:p>
      <w:pPr>
        <w:pStyle w:val="2"/>
        <w:ind w:left="0" w:leftChars="0" w:firstLine="0" w:firstLineChars="0"/>
        <w:rPr>
          <w:rFonts w:hint="default" w:cs="宋体"/>
        </w:rPr>
      </w:pPr>
      <w:r>
        <w:rPr>
          <w:rFonts w:hint="default" w:cs="宋体"/>
        </w:rPr>
        <w:t>的、招标范围、主要合同条件、技术标准和要求、质量标准和工期要求等，掌握评标标准和方法。未在招标文件中规定的标准和方法不得作为评标的依据。</w:t>
      </w:r>
    </w:p>
    <w:p>
      <w:pPr>
        <w:pStyle w:val="2"/>
        <w:rPr>
          <w:rFonts w:hint="default" w:cs="宋体"/>
        </w:rPr>
      </w:pPr>
      <w:r>
        <w:rPr>
          <w:rFonts w:hint="default" w:cs="宋体"/>
        </w:rPr>
        <w:t>2.3.2招标人或招标代理机构应向评标委员会提供评标所需的信息和数据，包括招标</w:t>
      </w:r>
    </w:p>
    <w:p>
      <w:pPr>
        <w:pStyle w:val="2"/>
        <w:ind w:left="0" w:leftChars="0" w:firstLine="0" w:firstLineChars="0"/>
        <w:rPr>
          <w:rFonts w:hint="default" w:cs="宋体"/>
        </w:rPr>
      </w:pPr>
      <w:r>
        <w:rPr>
          <w:rFonts w:hint="default" w:cs="宋体"/>
        </w:rPr>
        <w:t>文件、未在开标会上当场拒绝的各投标文件、开标会记录、招标控制价、有关的法律、</w:t>
      </w:r>
    </w:p>
    <w:p>
      <w:pPr>
        <w:pStyle w:val="2"/>
        <w:ind w:left="0" w:leftChars="0" w:firstLine="0" w:firstLineChars="0"/>
        <w:rPr>
          <w:rFonts w:hint="default" w:cs="宋体"/>
        </w:rPr>
      </w:pPr>
      <w:r>
        <w:rPr>
          <w:rFonts w:hint="default" w:cs="宋体"/>
        </w:rPr>
        <w:t>法规、规章、国家标准以及招标人或评标委员会认为必要的其他信息和数据。</w:t>
      </w:r>
    </w:p>
    <w:p>
      <w:pPr>
        <w:pStyle w:val="2"/>
        <w:rPr>
          <w:rFonts w:hint="default" w:cs="宋体"/>
        </w:rPr>
      </w:pPr>
      <w:r>
        <w:rPr>
          <w:rFonts w:hint="default" w:cs="宋体"/>
        </w:rPr>
        <w:t>2.4对投标文件进行基础性数据分析和整理工作（以下简称：清标）</w:t>
      </w:r>
    </w:p>
    <w:p>
      <w:pPr>
        <w:pStyle w:val="2"/>
        <w:rPr>
          <w:rFonts w:hint="default" w:cs="宋体"/>
        </w:rPr>
      </w:pPr>
      <w:r>
        <w:rPr>
          <w:rFonts w:hint="default" w:cs="宋体"/>
        </w:rPr>
        <w:t>2.4.1在不改变投标人投标文件实质性内容的前提下，评标委员会应当进行清标，发</w:t>
      </w:r>
    </w:p>
    <w:p>
      <w:pPr>
        <w:pStyle w:val="2"/>
        <w:ind w:left="0" w:leftChars="0" w:firstLine="0" w:firstLineChars="0"/>
        <w:rPr>
          <w:rFonts w:hint="default" w:cs="宋体"/>
        </w:rPr>
      </w:pPr>
      <w:r>
        <w:rPr>
          <w:rFonts w:hint="default" w:cs="宋体"/>
        </w:rPr>
        <w:t>现并提取其中可能存在的对招标范围理解的偏差、投标报价的算术性错误、错漏项、投</w:t>
      </w:r>
    </w:p>
    <w:p>
      <w:pPr>
        <w:pStyle w:val="2"/>
        <w:ind w:left="0" w:leftChars="0" w:firstLine="0" w:firstLineChars="0"/>
        <w:rPr>
          <w:rFonts w:hint="default" w:cs="宋体"/>
        </w:rPr>
      </w:pPr>
      <w:r>
        <w:rPr>
          <w:rFonts w:hint="default" w:cs="宋体"/>
        </w:rPr>
        <w:t>标报价构成不合理等明显异常的问题，并将这些问题整理形成清标成果。评标委员会对</w:t>
      </w:r>
    </w:p>
    <w:p>
      <w:pPr>
        <w:pStyle w:val="2"/>
        <w:ind w:left="0" w:leftChars="0" w:firstLine="0" w:firstLineChars="0"/>
        <w:rPr>
          <w:rFonts w:hint="default" w:cs="宋体"/>
        </w:rPr>
      </w:pPr>
      <w:r>
        <w:rPr>
          <w:rFonts w:hint="default" w:cs="宋体"/>
        </w:rPr>
        <w:t>清标成果审议后，对于需要投标人进行书面澄清、说明或补正的问题，形成质疑问卷，向投标人发出问题澄清通知或者质疑问卷。</w:t>
      </w:r>
    </w:p>
    <w:p>
      <w:pPr>
        <w:pStyle w:val="2"/>
        <w:rPr>
          <w:rFonts w:hint="default" w:cs="宋体"/>
        </w:rPr>
      </w:pPr>
      <w:r>
        <w:rPr>
          <w:rFonts w:hint="default" w:cs="宋体"/>
        </w:rPr>
        <w:t>2.4.2投标人应当按照评标委员会的要求，提供书面澄清说明资料，在规定的时间递</w:t>
      </w:r>
    </w:p>
    <w:p>
      <w:pPr>
        <w:pStyle w:val="2"/>
        <w:ind w:left="0" w:leftChars="0" w:firstLine="0" w:firstLineChars="0"/>
        <w:rPr>
          <w:rFonts w:hint="default" w:cs="宋体"/>
        </w:rPr>
      </w:pPr>
      <w:r>
        <w:rPr>
          <w:rFonts w:hint="default" w:cs="宋体"/>
        </w:rPr>
        <w:t>交到指定地点。</w:t>
      </w:r>
    </w:p>
    <w:p>
      <w:pPr>
        <w:pStyle w:val="2"/>
        <w:rPr>
          <w:rFonts w:hint="default" w:cs="宋体"/>
        </w:rPr>
      </w:pPr>
      <w:r>
        <w:rPr>
          <w:rFonts w:hint="default" w:cs="宋体"/>
        </w:rPr>
        <w:t>3.初步评审</w:t>
      </w:r>
    </w:p>
    <w:p>
      <w:pPr>
        <w:pStyle w:val="2"/>
        <w:ind w:left="0" w:leftChars="0" w:firstLine="480" w:firstLineChars="200"/>
        <w:rPr>
          <w:rFonts w:hint="default" w:cs="宋体"/>
        </w:rPr>
      </w:pPr>
      <w:r>
        <w:rPr>
          <w:rFonts w:hint="default" w:cs="宋体"/>
        </w:rPr>
        <w:t>评标委员会依据评标办法的规定对投标文件进行初步评审。有一项不符合评审标准</w:t>
      </w:r>
    </w:p>
    <w:p>
      <w:pPr>
        <w:pStyle w:val="2"/>
        <w:ind w:left="0" w:leftChars="0" w:firstLine="0" w:firstLineChars="0"/>
        <w:rPr>
          <w:rFonts w:hint="default" w:cs="宋体"/>
        </w:rPr>
      </w:pPr>
      <w:r>
        <w:rPr>
          <w:rFonts w:hint="default" w:cs="宋体"/>
        </w:rPr>
        <w:t>的，应当予以否决。</w:t>
      </w:r>
    </w:p>
    <w:p>
      <w:pPr>
        <w:pStyle w:val="2"/>
        <w:rPr>
          <w:rFonts w:hint="default" w:cs="宋体"/>
        </w:rPr>
      </w:pPr>
      <w:r>
        <w:rPr>
          <w:rFonts w:hint="default" w:cs="宋体"/>
        </w:rPr>
        <w:t>3.1形式评审</w:t>
      </w:r>
    </w:p>
    <w:p>
      <w:pPr>
        <w:pStyle w:val="2"/>
        <w:rPr>
          <w:rFonts w:hint="default" w:cs="宋体"/>
        </w:rPr>
      </w:pPr>
      <w:r>
        <w:rPr>
          <w:rFonts w:hint="default" w:cs="宋体"/>
        </w:rPr>
        <w:t>评标委员会根据评标办法前附表中规定的评审因素和评审标准，对投标人的投标文</w:t>
      </w:r>
    </w:p>
    <w:p>
      <w:pPr>
        <w:pStyle w:val="2"/>
        <w:ind w:left="0" w:leftChars="0" w:firstLine="0" w:firstLineChars="0"/>
        <w:rPr>
          <w:rFonts w:hint="default" w:cs="宋体"/>
        </w:rPr>
      </w:pPr>
      <w:r>
        <w:rPr>
          <w:rFonts w:hint="default" w:cs="宋体"/>
        </w:rPr>
        <w:t>件进行形式评审。</w:t>
      </w:r>
    </w:p>
    <w:p>
      <w:pPr>
        <w:pStyle w:val="2"/>
        <w:rPr>
          <w:rFonts w:hint="default" w:cs="宋体"/>
        </w:rPr>
      </w:pPr>
      <w:r>
        <w:rPr>
          <w:rFonts w:hint="default" w:cs="宋体"/>
        </w:rPr>
        <w:t>3.2资格评审</w:t>
      </w:r>
    </w:p>
    <w:p>
      <w:pPr>
        <w:pStyle w:val="2"/>
        <w:rPr>
          <w:rFonts w:hint="default" w:cs="宋体"/>
        </w:rPr>
      </w:pPr>
      <w:r>
        <w:rPr>
          <w:rFonts w:hint="default" w:cs="宋体"/>
        </w:rPr>
        <w:t>3.2.1由评标委员会根据评标办法前附表规定的评审因素和评审标准，对投标人的投</w:t>
      </w:r>
    </w:p>
    <w:p>
      <w:pPr>
        <w:pStyle w:val="2"/>
        <w:ind w:left="0" w:leftChars="0" w:firstLine="0" w:firstLineChars="0"/>
        <w:rPr>
          <w:rFonts w:hint="default" w:cs="宋体"/>
        </w:rPr>
      </w:pPr>
      <w:r>
        <w:rPr>
          <w:rFonts w:hint="default" w:cs="宋体"/>
        </w:rPr>
        <w:t>标文件进行资格评审。</w:t>
      </w:r>
    </w:p>
    <w:p>
      <w:pPr>
        <w:pStyle w:val="2"/>
        <w:rPr>
          <w:rFonts w:hint="default" w:cs="宋体"/>
        </w:rPr>
      </w:pPr>
      <w:r>
        <w:rPr>
          <w:rFonts w:hint="default" w:cs="宋体"/>
        </w:rPr>
        <w:t>3.2.2核验原件（若有）</w:t>
      </w:r>
    </w:p>
    <w:p>
      <w:pPr>
        <w:pStyle w:val="2"/>
        <w:rPr>
          <w:rFonts w:hint="default" w:cs="宋体"/>
        </w:rPr>
      </w:pPr>
      <w:r>
        <w:rPr>
          <w:rFonts w:hint="default" w:cs="宋体"/>
        </w:rPr>
        <w:t>评标委员会对投标人提交招标文件规定的资格后审资料的原件进行核验，检查是否</w:t>
      </w:r>
    </w:p>
    <w:p>
      <w:pPr>
        <w:pStyle w:val="2"/>
        <w:ind w:left="0" w:leftChars="0" w:firstLine="0" w:firstLineChars="0"/>
        <w:rPr>
          <w:rFonts w:hint="default" w:cs="宋体"/>
        </w:rPr>
      </w:pPr>
      <w:r>
        <w:rPr>
          <w:rFonts w:hint="default" w:cs="宋体"/>
        </w:rPr>
        <w:t>按规定提供原件。</w:t>
      </w:r>
    </w:p>
    <w:p>
      <w:pPr>
        <w:pStyle w:val="2"/>
        <w:rPr>
          <w:rFonts w:hint="default" w:cs="宋体"/>
        </w:rPr>
      </w:pPr>
      <w:r>
        <w:rPr>
          <w:rFonts w:hint="default" w:cs="宋体"/>
        </w:rPr>
        <w:t>3.2.3资格评审过程中，评标委员会发现投标人提交的资格审查资料不全时，应当听</w:t>
      </w:r>
    </w:p>
    <w:p>
      <w:pPr>
        <w:pStyle w:val="2"/>
        <w:ind w:left="0" w:leftChars="0" w:firstLine="0" w:firstLineChars="0"/>
        <w:rPr>
          <w:rFonts w:hint="default" w:cs="宋体"/>
        </w:rPr>
      </w:pPr>
      <w:r>
        <w:rPr>
          <w:rFonts w:hint="default" w:cs="宋体"/>
        </w:rPr>
        <w:t>取该投标人的说明。</w:t>
      </w:r>
    </w:p>
    <w:p>
      <w:pPr>
        <w:pStyle w:val="2"/>
        <w:rPr>
          <w:rFonts w:hint="default" w:cs="宋体"/>
        </w:rPr>
      </w:pPr>
      <w:r>
        <w:rPr>
          <w:rFonts w:hint="default" w:cs="宋体"/>
        </w:rPr>
        <w:t>3.3响应性评审</w:t>
      </w:r>
    </w:p>
    <w:p>
      <w:pPr>
        <w:pStyle w:val="2"/>
        <w:rPr>
          <w:rFonts w:hint="default" w:cs="宋体"/>
        </w:rPr>
      </w:pPr>
      <w:r>
        <w:rPr>
          <w:rFonts w:hint="default" w:cs="宋体"/>
        </w:rPr>
        <w:t>3.3.1评标委员会根据评标办法前附表中规定的评审因素和评审标准，对投标人的投</w:t>
      </w:r>
    </w:p>
    <w:p>
      <w:pPr>
        <w:pStyle w:val="2"/>
        <w:ind w:left="0" w:leftChars="0" w:firstLine="0" w:firstLineChars="0"/>
        <w:rPr>
          <w:rFonts w:hint="default" w:cs="宋体"/>
        </w:rPr>
      </w:pPr>
      <w:r>
        <w:rPr>
          <w:rFonts w:hint="default" w:cs="宋体"/>
        </w:rPr>
        <w:t>标文件进行响应性评审。</w:t>
      </w:r>
    </w:p>
    <w:p>
      <w:pPr>
        <w:pStyle w:val="2"/>
        <w:rPr>
          <w:rFonts w:hint="default" w:cs="宋体"/>
        </w:rPr>
      </w:pPr>
      <w:r>
        <w:rPr>
          <w:rFonts w:hint="default" w:cs="宋体"/>
        </w:rPr>
        <w:t>3.3.2招标文件设定了招标控制价的，投标人投标价格不得超出 “投标人须知” 前</w:t>
      </w:r>
    </w:p>
    <w:p>
      <w:pPr>
        <w:pStyle w:val="2"/>
        <w:ind w:left="0" w:leftChars="0" w:firstLine="0" w:firstLineChars="0"/>
        <w:rPr>
          <w:rFonts w:hint="default" w:cs="宋体"/>
        </w:rPr>
      </w:pPr>
      <w:r>
        <w:rPr>
          <w:rFonts w:hint="default" w:cs="宋体"/>
        </w:rPr>
        <w:t>附表载明的招标控制价。</w:t>
      </w:r>
    </w:p>
    <w:p>
      <w:pPr>
        <w:pStyle w:val="2"/>
        <w:rPr>
          <w:rFonts w:hint="default" w:cs="宋体"/>
        </w:rPr>
      </w:pPr>
      <w:r>
        <w:rPr>
          <w:rFonts w:hint="default" w:cs="宋体"/>
        </w:rPr>
        <w:t>3.4算术错误修正</w:t>
      </w:r>
    </w:p>
    <w:p>
      <w:pPr>
        <w:pStyle w:val="2"/>
        <w:rPr>
          <w:rFonts w:hint="default" w:cs="宋体"/>
        </w:rPr>
      </w:pPr>
      <w:r>
        <w:rPr>
          <w:rFonts w:hint="default" w:cs="宋体"/>
        </w:rPr>
        <w:t>评标委员会检查投标人投标报价是否有算术错误，算术性错误分析和修正按以下原</w:t>
      </w:r>
    </w:p>
    <w:p>
      <w:pPr>
        <w:pStyle w:val="2"/>
        <w:ind w:left="0" w:leftChars="0" w:firstLine="0" w:firstLineChars="0"/>
        <w:rPr>
          <w:rFonts w:hint="default" w:cs="宋体"/>
        </w:rPr>
      </w:pPr>
      <w:r>
        <w:rPr>
          <w:rFonts w:hint="default" w:cs="宋体"/>
        </w:rPr>
        <w:t>则进行，修正的价格经投标人书面确认后具有约束力。投标人不接受修正价格的，应当</w:t>
      </w:r>
    </w:p>
    <w:p>
      <w:pPr>
        <w:pStyle w:val="2"/>
        <w:ind w:left="0" w:leftChars="0" w:firstLine="0" w:firstLineChars="0"/>
        <w:rPr>
          <w:rFonts w:hint="default" w:cs="宋体"/>
        </w:rPr>
      </w:pPr>
      <w:r>
        <w:rPr>
          <w:rFonts w:hint="default" w:cs="宋体"/>
        </w:rPr>
        <w:t>否决其投标。</w:t>
      </w:r>
    </w:p>
    <w:p>
      <w:pPr>
        <w:pStyle w:val="2"/>
        <w:rPr>
          <w:rFonts w:hint="default" w:cs="宋体"/>
        </w:rPr>
      </w:pPr>
      <w:r>
        <w:rPr>
          <w:rFonts w:hint="default" w:cs="宋体"/>
        </w:rPr>
        <w:t>(1)投标文件中的大写金额与小写金额不一致的，以大写金额为准；</w:t>
      </w:r>
    </w:p>
    <w:p>
      <w:pPr>
        <w:pStyle w:val="2"/>
        <w:rPr>
          <w:rFonts w:hint="default" w:cs="宋体"/>
        </w:rPr>
      </w:pPr>
      <w:r>
        <w:rPr>
          <w:rFonts w:hint="default" w:cs="宋体"/>
        </w:rPr>
        <w:t>(2)总价金额与依据单价计算出的结果不一致的，以单价金额为准修正总价，但单价</w:t>
      </w:r>
    </w:p>
    <w:p>
      <w:pPr>
        <w:pStyle w:val="2"/>
        <w:ind w:left="0" w:leftChars="0" w:firstLine="0" w:firstLineChars="0"/>
        <w:rPr>
          <w:rFonts w:hint="default" w:cs="宋体"/>
        </w:rPr>
      </w:pPr>
      <w:r>
        <w:rPr>
          <w:rFonts w:hint="default" w:cs="宋体"/>
        </w:rPr>
        <w:t>金额小 数点有明显错误的除外。</w:t>
      </w:r>
    </w:p>
    <w:p>
      <w:pPr>
        <w:pStyle w:val="2"/>
        <w:rPr>
          <w:rFonts w:hint="default" w:cs="宋体"/>
        </w:rPr>
      </w:pPr>
      <w:r>
        <w:rPr>
          <w:rFonts w:hint="default" w:cs="宋体"/>
        </w:rPr>
        <w:t>评标委员会根据算术错误修正结果计算评标价。评标委员会对算术错误的修正应向</w:t>
      </w:r>
    </w:p>
    <w:p>
      <w:pPr>
        <w:pStyle w:val="2"/>
        <w:ind w:left="0" w:leftChars="0" w:firstLine="0" w:firstLineChars="0"/>
        <w:rPr>
          <w:rFonts w:hint="default" w:cs="宋体"/>
        </w:rPr>
      </w:pPr>
      <w:r>
        <w:rPr>
          <w:rFonts w:hint="default" w:cs="宋体"/>
        </w:rPr>
        <w:t>投标人作书面澄清。投标人对修正结果应书面确认。投标人对修正结果有不同意见或未</w:t>
      </w:r>
    </w:p>
    <w:p>
      <w:pPr>
        <w:pStyle w:val="2"/>
        <w:ind w:left="0" w:leftChars="0" w:firstLine="0" w:firstLineChars="0"/>
        <w:rPr>
          <w:rFonts w:hint="default" w:cs="宋体"/>
        </w:rPr>
      </w:pPr>
      <w:r>
        <w:rPr>
          <w:rFonts w:hint="default" w:cs="宋体"/>
        </w:rPr>
        <w:t>作书面确认的，评标委员会应重新复核修正结果，再次按上述程序分别进行确认、复核。</w:t>
      </w:r>
    </w:p>
    <w:p>
      <w:pPr>
        <w:pStyle w:val="2"/>
        <w:rPr>
          <w:rFonts w:hint="default" w:cs="宋体"/>
        </w:rPr>
      </w:pPr>
      <w:r>
        <w:rPr>
          <w:rFonts w:hint="default" w:cs="宋体"/>
        </w:rPr>
        <w:t>3.5澄清、说明或补正</w:t>
      </w:r>
    </w:p>
    <w:p>
      <w:pPr>
        <w:pStyle w:val="2"/>
        <w:rPr>
          <w:rFonts w:hint="default" w:cs="宋体"/>
        </w:rPr>
      </w:pPr>
      <w:r>
        <w:rPr>
          <w:rFonts w:hint="default" w:cs="宋体"/>
        </w:rPr>
        <w:t>在初步评审过程中，评标委员会应当就投标文件中不明确的内容要求投标人进行澄</w:t>
      </w:r>
    </w:p>
    <w:p>
      <w:pPr>
        <w:pStyle w:val="2"/>
        <w:ind w:left="0" w:leftChars="0" w:firstLine="0" w:firstLineChars="0"/>
        <w:rPr>
          <w:rFonts w:hint="default" w:cs="宋体"/>
        </w:rPr>
      </w:pPr>
      <w:r>
        <w:rPr>
          <w:rFonts w:hint="default" w:cs="宋体"/>
        </w:rPr>
        <w:t>清、说明或者补正。投标人应当根据问题澄清通知要求，以书面形式予以澄清、说明或</w:t>
      </w:r>
    </w:p>
    <w:p>
      <w:pPr>
        <w:pStyle w:val="2"/>
        <w:ind w:left="0" w:leftChars="0" w:firstLine="0" w:firstLineChars="0"/>
        <w:rPr>
          <w:rFonts w:hint="default" w:cs="宋体"/>
        </w:rPr>
      </w:pPr>
      <w:r>
        <w:rPr>
          <w:rFonts w:hint="default" w:cs="宋体"/>
        </w:rPr>
        <w:t>者补正。澄清、说明或补正根据评标办法正文部分规定进行。</w:t>
      </w:r>
    </w:p>
    <w:p>
      <w:pPr>
        <w:pStyle w:val="2"/>
        <w:rPr>
          <w:rFonts w:hint="default" w:cs="宋体"/>
        </w:rPr>
      </w:pPr>
      <w:r>
        <w:rPr>
          <w:rFonts w:hint="default" w:cs="宋体"/>
        </w:rPr>
        <w:t>3.6是否予以否决投标</w:t>
      </w:r>
    </w:p>
    <w:p>
      <w:pPr>
        <w:pStyle w:val="2"/>
        <w:rPr>
          <w:rFonts w:hint="default" w:cs="宋体"/>
        </w:rPr>
      </w:pPr>
      <w:r>
        <w:rPr>
          <w:rFonts w:hint="default" w:cs="宋体"/>
        </w:rPr>
        <w:t>3.6.1评标委员会在评标过程中，依据本章附件 3-2 中规定的否决投标情形，判断</w:t>
      </w:r>
    </w:p>
    <w:p>
      <w:pPr>
        <w:pStyle w:val="2"/>
        <w:ind w:left="0" w:leftChars="0" w:firstLine="0" w:firstLineChars="0"/>
        <w:rPr>
          <w:rFonts w:hint="default" w:cs="宋体"/>
        </w:rPr>
      </w:pPr>
      <w:r>
        <w:rPr>
          <w:rFonts w:hint="default" w:cs="宋体"/>
        </w:rPr>
        <w:t>是否对投标人的投标予以否决。</w:t>
      </w:r>
    </w:p>
    <w:p>
      <w:pPr>
        <w:pStyle w:val="2"/>
        <w:rPr>
          <w:rFonts w:hint="default" w:cs="宋体"/>
        </w:rPr>
      </w:pPr>
      <w:r>
        <w:rPr>
          <w:rFonts w:hint="default" w:cs="宋体"/>
        </w:rPr>
        <w:t>3.6.2本章附件 3-2 集中列示的否决投标情形如果与第二章投标人须知和本章列示</w:t>
      </w:r>
    </w:p>
    <w:p>
      <w:pPr>
        <w:pStyle w:val="2"/>
        <w:ind w:left="0" w:leftChars="0" w:firstLine="0" w:firstLineChars="0"/>
        <w:rPr>
          <w:rFonts w:hint="default" w:cs="宋体"/>
        </w:rPr>
      </w:pPr>
      <w:r>
        <w:rPr>
          <w:rFonts w:hint="default" w:cs="宋体"/>
        </w:rPr>
        <w:t>的否决投标条款相互抵触和矛盾时，以第二章投标人须知和本章正文的规定为准。</w:t>
      </w:r>
    </w:p>
    <w:p>
      <w:pPr>
        <w:pStyle w:val="2"/>
        <w:rPr>
          <w:rFonts w:hint="default" w:cs="宋体"/>
        </w:rPr>
      </w:pPr>
      <w:r>
        <w:rPr>
          <w:rFonts w:hint="default" w:cs="宋体"/>
        </w:rPr>
        <w:t>4.详细评审</w:t>
      </w:r>
    </w:p>
    <w:p>
      <w:pPr>
        <w:pStyle w:val="2"/>
        <w:rPr>
          <w:rFonts w:hint="default" w:cs="宋体"/>
        </w:rPr>
      </w:pPr>
      <w:r>
        <w:rPr>
          <w:rFonts w:hint="default" w:cs="宋体"/>
        </w:rPr>
        <w:t>初步评审合格的投标人进入详细评审。评标委员会按照规定的评审因素和标准进行评审计分， 并计算出评标总得分。</w:t>
      </w:r>
    </w:p>
    <w:p>
      <w:pPr>
        <w:pStyle w:val="2"/>
        <w:rPr>
          <w:rFonts w:hint="default" w:cs="宋体"/>
        </w:rPr>
      </w:pPr>
      <w:r>
        <w:rPr>
          <w:rFonts w:hint="default" w:cs="宋体"/>
        </w:rPr>
        <w:t>4.1详细评审的程序</w:t>
      </w:r>
    </w:p>
    <w:p>
      <w:pPr>
        <w:pStyle w:val="2"/>
        <w:rPr>
          <w:rFonts w:hint="default" w:cs="宋体"/>
        </w:rPr>
      </w:pPr>
      <w:r>
        <w:rPr>
          <w:rFonts w:hint="default" w:cs="宋体"/>
        </w:rPr>
        <w:t>4.1.1评标委员会按照规定进行详细评审</w:t>
      </w:r>
    </w:p>
    <w:p>
      <w:pPr>
        <w:pStyle w:val="2"/>
        <w:rPr>
          <w:rFonts w:hint="default" w:cs="宋体"/>
        </w:rPr>
      </w:pPr>
      <w:r>
        <w:rPr>
          <w:rFonts w:hint="default" w:cs="宋体"/>
        </w:rPr>
        <w:t>(1)咨询服务方案评审计分。</w:t>
      </w:r>
    </w:p>
    <w:p>
      <w:pPr>
        <w:pStyle w:val="2"/>
        <w:rPr>
          <w:rFonts w:hint="default" w:cs="宋体"/>
        </w:rPr>
      </w:pPr>
      <w:r>
        <w:rPr>
          <w:rFonts w:hint="default" w:cs="宋体"/>
        </w:rPr>
        <w:t>(2)企业综合实力评审计分。</w:t>
      </w:r>
    </w:p>
    <w:p>
      <w:pPr>
        <w:pStyle w:val="2"/>
        <w:rPr>
          <w:rFonts w:hint="default" w:cs="宋体"/>
        </w:rPr>
      </w:pPr>
      <w:r>
        <w:rPr>
          <w:rFonts w:hint="default" w:cs="宋体"/>
        </w:rPr>
        <w:t>(3)项目团队评审计分。</w:t>
      </w:r>
    </w:p>
    <w:p>
      <w:pPr>
        <w:pStyle w:val="2"/>
        <w:rPr>
          <w:rFonts w:hint="default" w:cs="宋体"/>
        </w:rPr>
      </w:pPr>
      <w:r>
        <w:rPr>
          <w:rFonts w:hint="default" w:cs="宋体"/>
        </w:rPr>
        <w:t>(4)投标报价评审计分。</w:t>
      </w:r>
    </w:p>
    <w:p>
      <w:pPr>
        <w:pStyle w:val="2"/>
        <w:rPr>
          <w:rFonts w:hint="default" w:cs="宋体"/>
        </w:rPr>
      </w:pPr>
      <w:r>
        <w:rPr>
          <w:rFonts w:hint="default" w:cs="宋体"/>
        </w:rPr>
        <w:t>评标委员会认为投标人的报价明显低于其他通过初步评审投标人的报价，有可能影</w:t>
      </w:r>
    </w:p>
    <w:p>
      <w:pPr>
        <w:pStyle w:val="2"/>
        <w:rPr>
          <w:rFonts w:hint="default" w:cs="宋体"/>
        </w:rPr>
      </w:pPr>
      <w:r>
        <w:rPr>
          <w:rFonts w:hint="default" w:cs="宋体"/>
        </w:rPr>
        <w:t>响质量或者不能诚信履约的，应当要求其在评标现场合理的时间内提供书面说明，必要时提交相关证明材料； 投标人不能证明其报价合理性的，评标委员会认定投标人以低于成本报价竞标，应当否决其投标。</w:t>
      </w:r>
    </w:p>
    <w:p>
      <w:pPr>
        <w:pStyle w:val="2"/>
        <w:rPr>
          <w:rFonts w:hint="default" w:cs="宋体"/>
        </w:rPr>
      </w:pPr>
      <w:r>
        <w:rPr>
          <w:rFonts w:hint="default" w:cs="宋体"/>
        </w:rPr>
        <w:t>4.2澄清、说明或补正</w:t>
      </w:r>
    </w:p>
    <w:p>
      <w:pPr>
        <w:pStyle w:val="2"/>
        <w:rPr>
          <w:rFonts w:hint="default" w:cs="宋体"/>
        </w:rPr>
      </w:pPr>
      <w:r>
        <w:rPr>
          <w:rFonts w:hint="default" w:cs="宋体"/>
        </w:rPr>
        <w:t>在详细评审过程中，评标委员会应当就投标文件中不明确的内容要求投标人进行澄</w:t>
      </w:r>
    </w:p>
    <w:p>
      <w:pPr>
        <w:pStyle w:val="2"/>
        <w:ind w:left="0" w:leftChars="0" w:firstLine="0" w:firstLineChars="0"/>
        <w:rPr>
          <w:rFonts w:hint="default" w:cs="宋体"/>
        </w:rPr>
      </w:pPr>
      <w:r>
        <w:rPr>
          <w:rFonts w:hint="default" w:cs="宋体"/>
        </w:rPr>
        <w:t>清、说明或者补正。投标人应当以书面形式予以澄清、说明或者补正。澄清、说明或补</w:t>
      </w:r>
    </w:p>
    <w:p>
      <w:pPr>
        <w:pStyle w:val="2"/>
        <w:ind w:left="0" w:leftChars="0" w:firstLine="0" w:firstLineChars="0"/>
        <w:rPr>
          <w:rFonts w:hint="default" w:cs="宋体"/>
        </w:rPr>
      </w:pPr>
      <w:r>
        <w:rPr>
          <w:rFonts w:hint="default" w:cs="宋体"/>
        </w:rPr>
        <w:t>正按照评标办法正文部分规定执行。</w:t>
      </w:r>
    </w:p>
    <w:p>
      <w:pPr>
        <w:pStyle w:val="2"/>
        <w:rPr>
          <w:rFonts w:hint="default" w:cs="宋体"/>
        </w:rPr>
      </w:pPr>
      <w:r>
        <w:rPr>
          <w:rFonts w:hint="default" w:cs="宋体"/>
        </w:rPr>
        <w:t>4.3汇总评分结果</w:t>
      </w:r>
    </w:p>
    <w:p>
      <w:pPr>
        <w:pStyle w:val="2"/>
        <w:rPr>
          <w:rFonts w:hint="default" w:cs="宋体"/>
        </w:rPr>
      </w:pPr>
      <w:r>
        <w:rPr>
          <w:rFonts w:hint="default" w:cs="宋体"/>
        </w:rPr>
        <w:t>详细评审工作全部结束后，汇总评审计分结果，并按照评标总得分由高至低的次序</w:t>
      </w:r>
    </w:p>
    <w:p>
      <w:pPr>
        <w:pStyle w:val="2"/>
        <w:ind w:left="0" w:leftChars="0" w:firstLine="0" w:firstLineChars="0"/>
        <w:rPr>
          <w:rFonts w:hint="default" w:cs="宋体"/>
        </w:rPr>
      </w:pPr>
      <w:r>
        <w:rPr>
          <w:rFonts w:hint="default" w:cs="宋体"/>
        </w:rPr>
        <w:t>对投标人进行排序。4.4评分分值计算保留小数点后两位，小数点后第三位“四舍五入”。</w:t>
      </w:r>
    </w:p>
    <w:p>
      <w:pPr>
        <w:pStyle w:val="2"/>
        <w:rPr>
          <w:rFonts w:hint="default" w:cs="宋体"/>
        </w:rPr>
      </w:pPr>
      <w:r>
        <w:rPr>
          <w:rFonts w:hint="default" w:cs="宋体"/>
        </w:rPr>
        <w:t>5.中标人的确定</w:t>
      </w:r>
    </w:p>
    <w:p>
      <w:pPr>
        <w:pStyle w:val="2"/>
        <w:rPr>
          <w:rFonts w:hint="default" w:cs="宋体"/>
        </w:rPr>
      </w:pPr>
      <w:r>
        <w:rPr>
          <w:rFonts w:hint="default" w:cs="宋体"/>
        </w:rPr>
        <w:t>5.1推荐中标候选人</w:t>
      </w:r>
    </w:p>
    <w:p>
      <w:pPr>
        <w:pStyle w:val="2"/>
        <w:rPr>
          <w:rFonts w:hint="default" w:cs="宋体"/>
        </w:rPr>
      </w:pPr>
      <w:r>
        <w:rPr>
          <w:rFonts w:hint="default" w:cs="宋体"/>
        </w:rPr>
        <w:t>5.1.1评标委员会在推荐中标候选人时，应遵照以下原则:</w:t>
      </w:r>
    </w:p>
    <w:p>
      <w:pPr>
        <w:pStyle w:val="2"/>
        <w:rPr>
          <w:rFonts w:hint="default" w:cs="宋体"/>
        </w:rPr>
      </w:pPr>
      <w:r>
        <w:rPr>
          <w:rFonts w:hint="default" w:cs="宋体"/>
        </w:rPr>
        <w:t>(1)评标委员会按照最终得分由高至低的次序排列，并根据第二章投标人须知前附</w:t>
      </w:r>
    </w:p>
    <w:p>
      <w:pPr>
        <w:pStyle w:val="2"/>
        <w:ind w:left="0" w:leftChars="0" w:firstLine="0" w:firstLineChars="0"/>
        <w:rPr>
          <w:rFonts w:hint="default" w:cs="宋体"/>
        </w:rPr>
      </w:pPr>
      <w:r>
        <w:rPr>
          <w:rFonts w:hint="default" w:cs="宋体"/>
        </w:rPr>
        <w:t>表规定的中标候选人数量，将排序在前的投标人推荐为中标候选人。</w:t>
      </w:r>
    </w:p>
    <w:p>
      <w:pPr>
        <w:pStyle w:val="2"/>
        <w:rPr>
          <w:rFonts w:hint="default" w:cs="宋体"/>
        </w:rPr>
      </w:pPr>
      <w:r>
        <w:rPr>
          <w:rFonts w:hint="default" w:cs="宋体"/>
        </w:rPr>
        <w:t>(2)评标委员会根据规定予以否决投标后，如果因有效投标不足 3 个使得投标明显</w:t>
      </w:r>
    </w:p>
    <w:p>
      <w:pPr>
        <w:pStyle w:val="2"/>
        <w:ind w:left="0" w:leftChars="0" w:firstLine="0" w:firstLineChars="0"/>
        <w:rPr>
          <w:rFonts w:hint="default" w:cs="宋体"/>
        </w:rPr>
      </w:pPr>
      <w:r>
        <w:rPr>
          <w:rFonts w:hint="default" w:cs="宋体"/>
        </w:rPr>
        <w:t>缺乏竞争的，评标委员会可以建议招标人重新招标。</w:t>
      </w:r>
    </w:p>
    <w:p>
      <w:pPr>
        <w:pStyle w:val="2"/>
        <w:rPr>
          <w:rFonts w:hint="default" w:cs="宋体"/>
        </w:rPr>
      </w:pPr>
      <w:r>
        <w:rPr>
          <w:rFonts w:hint="default" w:cs="宋体"/>
        </w:rPr>
        <w:t>5.1.2投标人数量少于 3 个或者所有投标被否决的，招标人应当依法重新招标。</w:t>
      </w:r>
    </w:p>
    <w:p>
      <w:pPr>
        <w:pStyle w:val="2"/>
        <w:rPr>
          <w:rFonts w:hint="default" w:cs="宋体"/>
        </w:rPr>
      </w:pPr>
      <w:r>
        <w:rPr>
          <w:rFonts w:hint="default" w:cs="宋体"/>
        </w:rPr>
        <w:t>5.2确定中标人</w:t>
      </w:r>
    </w:p>
    <w:p>
      <w:pPr>
        <w:pStyle w:val="2"/>
        <w:rPr>
          <w:rFonts w:hint="default" w:cs="宋体"/>
        </w:rPr>
      </w:pPr>
      <w:r>
        <w:rPr>
          <w:rFonts w:hint="default" w:cs="宋体"/>
        </w:rPr>
        <w:t>招标人对评标委员会推荐的中标候选人进行公示。公示期满，按照相关规定确定中</w:t>
      </w:r>
    </w:p>
    <w:p>
      <w:pPr>
        <w:pStyle w:val="2"/>
        <w:ind w:left="0" w:leftChars="0" w:firstLine="0" w:firstLineChars="0"/>
        <w:rPr>
          <w:rFonts w:hint="default" w:cs="宋体"/>
        </w:rPr>
      </w:pPr>
      <w:r>
        <w:rPr>
          <w:rFonts w:hint="default" w:cs="宋体"/>
        </w:rPr>
        <w:t>标人。</w:t>
      </w:r>
    </w:p>
    <w:p>
      <w:pPr>
        <w:pStyle w:val="2"/>
        <w:rPr>
          <w:rFonts w:hint="default" w:cs="宋体"/>
        </w:rPr>
      </w:pPr>
      <w:r>
        <w:rPr>
          <w:rFonts w:hint="default" w:cs="宋体"/>
        </w:rPr>
        <w:t>5.3编制评标报告</w:t>
      </w:r>
    </w:p>
    <w:p>
      <w:pPr>
        <w:pStyle w:val="2"/>
        <w:rPr>
          <w:rFonts w:hint="default" w:cs="宋体"/>
        </w:rPr>
      </w:pPr>
      <w:r>
        <w:rPr>
          <w:rFonts w:hint="default" w:cs="宋体"/>
        </w:rPr>
        <w:t>评标委员会根据评标办法的规定向招标人提交评标报告。评标报告应当由全体评标</w:t>
      </w:r>
    </w:p>
    <w:p>
      <w:pPr>
        <w:pStyle w:val="2"/>
        <w:ind w:left="0" w:leftChars="0" w:firstLine="0" w:firstLineChars="0"/>
        <w:rPr>
          <w:rFonts w:hint="default" w:cs="宋体"/>
        </w:rPr>
      </w:pPr>
      <w:r>
        <w:rPr>
          <w:rFonts w:hint="default" w:cs="宋体"/>
        </w:rPr>
        <w:t>委员会成员签字。评标报告应当包括以下内容：</w:t>
      </w:r>
    </w:p>
    <w:p>
      <w:pPr>
        <w:pStyle w:val="2"/>
        <w:rPr>
          <w:rFonts w:hint="default" w:cs="宋体"/>
        </w:rPr>
      </w:pPr>
      <w:r>
        <w:rPr>
          <w:rFonts w:hint="default" w:cs="宋体"/>
        </w:rPr>
        <w:t>(1) 基本情况和数据表；</w:t>
      </w:r>
    </w:p>
    <w:p>
      <w:pPr>
        <w:pStyle w:val="2"/>
        <w:rPr>
          <w:rFonts w:hint="default" w:cs="宋体"/>
        </w:rPr>
      </w:pPr>
      <w:r>
        <w:rPr>
          <w:rFonts w:hint="default" w:cs="宋体"/>
        </w:rPr>
        <w:t>(2)评标委员会成员名单；</w:t>
      </w:r>
    </w:p>
    <w:p>
      <w:pPr>
        <w:pStyle w:val="2"/>
        <w:rPr>
          <w:rFonts w:hint="default" w:cs="宋体"/>
        </w:rPr>
      </w:pPr>
      <w:r>
        <w:rPr>
          <w:rFonts w:hint="default" w:cs="宋体"/>
        </w:rPr>
        <w:t>(3)开标记录；</w:t>
      </w:r>
    </w:p>
    <w:p>
      <w:pPr>
        <w:pStyle w:val="2"/>
        <w:rPr>
          <w:rFonts w:hint="default" w:cs="宋体"/>
        </w:rPr>
      </w:pPr>
      <w:r>
        <w:rPr>
          <w:rFonts w:hint="default" w:cs="宋体"/>
        </w:rPr>
        <w:t>(4)符合要求的投标一览表；</w:t>
      </w:r>
    </w:p>
    <w:p>
      <w:pPr>
        <w:pStyle w:val="2"/>
        <w:rPr>
          <w:rFonts w:hint="default" w:cs="宋体"/>
        </w:rPr>
      </w:pPr>
      <w:r>
        <w:rPr>
          <w:rFonts w:hint="default" w:cs="宋体"/>
        </w:rPr>
        <w:t>(5)否决投标情况说明；</w:t>
      </w:r>
    </w:p>
    <w:p>
      <w:pPr>
        <w:pStyle w:val="2"/>
        <w:rPr>
          <w:rFonts w:hint="default" w:cs="宋体"/>
        </w:rPr>
      </w:pPr>
      <w:r>
        <w:rPr>
          <w:rFonts w:hint="default" w:cs="宋体"/>
        </w:rPr>
        <w:t>(6)评标标准、评标方法或者评标因素一览表；</w:t>
      </w:r>
    </w:p>
    <w:p>
      <w:pPr>
        <w:pStyle w:val="2"/>
        <w:rPr>
          <w:rFonts w:hint="default" w:cs="宋体"/>
        </w:rPr>
      </w:pPr>
      <w:r>
        <w:rPr>
          <w:rFonts w:hint="default" w:cs="宋体"/>
        </w:rPr>
        <w:t>(7)经评审的价格一览表（包括评标委员会在评标过程中所形成的所有记载评标结</w:t>
      </w:r>
    </w:p>
    <w:p>
      <w:pPr>
        <w:pStyle w:val="2"/>
        <w:ind w:left="0" w:leftChars="0" w:firstLine="0" w:firstLineChars="0"/>
        <w:rPr>
          <w:rFonts w:hint="default" w:cs="宋体"/>
        </w:rPr>
      </w:pPr>
      <w:r>
        <w:rPr>
          <w:rFonts w:hint="default" w:cs="宋体"/>
        </w:rPr>
        <w:t>果、结论 的表格、说明、记录等文件）；</w:t>
      </w:r>
    </w:p>
    <w:p>
      <w:pPr>
        <w:pStyle w:val="2"/>
        <w:rPr>
          <w:rFonts w:hint="default" w:cs="宋体"/>
        </w:rPr>
      </w:pPr>
      <w:r>
        <w:rPr>
          <w:rFonts w:hint="default" w:cs="宋体"/>
        </w:rPr>
        <w:t>(8)经评审的投标人排序；</w:t>
      </w:r>
    </w:p>
    <w:p>
      <w:pPr>
        <w:pStyle w:val="2"/>
        <w:rPr>
          <w:rFonts w:hint="default" w:cs="宋体"/>
        </w:rPr>
      </w:pPr>
      <w:r>
        <w:rPr>
          <w:rFonts w:hint="default" w:cs="宋体"/>
        </w:rPr>
        <w:t>(9)推荐的中标候选人名单与签订合同前要处理的事宜；</w:t>
      </w:r>
    </w:p>
    <w:p>
      <w:pPr>
        <w:pStyle w:val="2"/>
        <w:rPr>
          <w:rFonts w:hint="default" w:cs="宋体"/>
        </w:rPr>
      </w:pPr>
      <w:r>
        <w:rPr>
          <w:rFonts w:hint="default" w:cs="宋体"/>
        </w:rPr>
        <w:t>(10)澄清、说明、补正事项纪要。</w:t>
      </w:r>
    </w:p>
    <w:p>
      <w:pPr>
        <w:pStyle w:val="2"/>
        <w:rPr>
          <w:rFonts w:hint="default" w:cs="宋体"/>
        </w:rPr>
      </w:pPr>
      <w:r>
        <w:rPr>
          <w:rFonts w:hint="default" w:cs="宋体"/>
        </w:rPr>
        <w:t>6．特殊情况的处置程序</w:t>
      </w:r>
    </w:p>
    <w:p>
      <w:pPr>
        <w:pStyle w:val="2"/>
        <w:rPr>
          <w:rFonts w:hint="default" w:cs="宋体"/>
        </w:rPr>
      </w:pPr>
      <w:r>
        <w:rPr>
          <w:rFonts w:hint="default" w:cs="宋体"/>
        </w:rPr>
        <w:t>6.1关于评标活动暂停</w:t>
      </w:r>
    </w:p>
    <w:p>
      <w:pPr>
        <w:pStyle w:val="2"/>
        <w:rPr>
          <w:rFonts w:hint="default" w:cs="宋体"/>
        </w:rPr>
      </w:pPr>
      <w:r>
        <w:rPr>
          <w:rFonts w:hint="default" w:cs="宋体"/>
        </w:rPr>
        <w:t>6.1.1评标委员会应当执行连续评标的原则，按评标办法中规定的程序、内容、方</w:t>
      </w:r>
    </w:p>
    <w:p>
      <w:pPr>
        <w:pStyle w:val="2"/>
        <w:ind w:left="0" w:leftChars="0" w:firstLine="0" w:firstLineChars="0"/>
        <w:rPr>
          <w:rFonts w:hint="default" w:cs="宋体"/>
        </w:rPr>
      </w:pPr>
      <w:r>
        <w:rPr>
          <w:rFonts w:hint="default" w:cs="宋体"/>
        </w:rPr>
        <w:t>法、标准完成全部评标工作。除特殊情况外，评标活动不得暂停。</w:t>
      </w:r>
    </w:p>
    <w:p>
      <w:pPr>
        <w:pStyle w:val="2"/>
        <w:rPr>
          <w:rFonts w:hint="default" w:cs="宋体"/>
        </w:rPr>
      </w:pPr>
      <w:r>
        <w:rPr>
          <w:rFonts w:hint="default" w:cs="宋体"/>
        </w:rPr>
        <w:t>6.1.2发生评标暂停情况时，评标委员会应当封存全部投标文件和评标记录，待特殊</w:t>
      </w:r>
    </w:p>
    <w:p>
      <w:pPr>
        <w:pStyle w:val="2"/>
        <w:ind w:left="0" w:leftChars="0" w:firstLine="0" w:firstLineChars="0"/>
        <w:rPr>
          <w:rFonts w:hint="default" w:cs="宋体"/>
        </w:rPr>
      </w:pPr>
      <w:r>
        <w:rPr>
          <w:rFonts w:hint="default" w:cs="宋体"/>
        </w:rPr>
        <w:t>情况的影响结束且具备继续评标的条件时，由原评标委员会继续评标。</w:t>
      </w:r>
    </w:p>
    <w:p>
      <w:pPr>
        <w:pStyle w:val="2"/>
        <w:rPr>
          <w:rFonts w:hint="default" w:cs="宋体"/>
        </w:rPr>
      </w:pPr>
      <w:r>
        <w:rPr>
          <w:rFonts w:hint="default" w:cs="宋体"/>
        </w:rPr>
        <w:t>6.2关于评标中途更换评委</w:t>
      </w:r>
    </w:p>
    <w:p>
      <w:pPr>
        <w:pStyle w:val="2"/>
        <w:rPr>
          <w:rFonts w:hint="default" w:cs="宋体"/>
        </w:rPr>
      </w:pPr>
      <w:r>
        <w:rPr>
          <w:rFonts w:hint="default" w:cs="宋体"/>
        </w:rPr>
        <w:t>6.2.1除非发生下列情况之一，不得在评标中途更换评标委员会成员：</w:t>
      </w:r>
    </w:p>
    <w:p>
      <w:pPr>
        <w:pStyle w:val="2"/>
        <w:rPr>
          <w:rFonts w:hint="default" w:cs="宋体"/>
        </w:rPr>
      </w:pPr>
      <w:r>
        <w:rPr>
          <w:rFonts w:hint="default" w:cs="宋体"/>
        </w:rPr>
        <w:t>(1)因不可抗拒的原因，评标委员会成员不能到场或需在评标中途退出评标活动。</w:t>
      </w:r>
    </w:p>
    <w:p>
      <w:pPr>
        <w:pStyle w:val="2"/>
        <w:rPr>
          <w:rFonts w:hint="default" w:cs="宋体"/>
        </w:rPr>
      </w:pPr>
      <w:r>
        <w:rPr>
          <w:rFonts w:hint="default" w:cs="宋体"/>
        </w:rPr>
        <w:t>(2)根据法律法规规定，某个或某几个评标委员会成员需要回避。</w:t>
      </w:r>
    </w:p>
    <w:p>
      <w:pPr>
        <w:pStyle w:val="2"/>
        <w:rPr>
          <w:rFonts w:hint="default" w:cs="宋体"/>
        </w:rPr>
      </w:pPr>
      <w:r>
        <w:rPr>
          <w:rFonts w:hint="default" w:cs="宋体"/>
        </w:rPr>
        <w:t>6.2.2退出评标的评标委员会成员，其已完成的评标行为无效。由招标人根据有关规</w:t>
      </w:r>
    </w:p>
    <w:p>
      <w:pPr>
        <w:pStyle w:val="2"/>
        <w:rPr>
          <w:rFonts w:hint="default" w:cs="宋体"/>
        </w:rPr>
      </w:pPr>
      <w:r>
        <w:rPr>
          <w:rFonts w:hint="default" w:cs="宋体"/>
        </w:rPr>
        <w:t>定另行确定替代者进行评标。</w:t>
      </w:r>
    </w:p>
    <w:p>
      <w:pPr>
        <w:pStyle w:val="2"/>
        <w:rPr>
          <w:rFonts w:hint="default" w:cs="宋体"/>
        </w:rPr>
      </w:pPr>
      <w:r>
        <w:rPr>
          <w:rFonts w:hint="default" w:cs="宋体"/>
        </w:rPr>
        <w:t>6.3记名投票</w:t>
      </w:r>
    </w:p>
    <w:p>
      <w:pPr>
        <w:pStyle w:val="2"/>
        <w:rPr>
          <w:rFonts w:hint="default" w:cs="宋体"/>
        </w:rPr>
      </w:pPr>
      <w:r>
        <w:rPr>
          <w:rFonts w:hint="default" w:cs="宋体"/>
        </w:rPr>
        <w:t>在任何评标环节中，需评标委员会就某项定性的评审结论做出表决的，由评标委员</w:t>
      </w:r>
    </w:p>
    <w:p>
      <w:pPr>
        <w:pStyle w:val="2"/>
        <w:rPr>
          <w:rFonts w:hint="default" w:cs="宋体"/>
        </w:rPr>
      </w:pPr>
      <w:r>
        <w:rPr>
          <w:rFonts w:hint="default" w:cs="宋体"/>
        </w:rPr>
        <w:t>会全体成员按照少数服从多数的原则，以记名投票方式表决。</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r>
        <w:rPr>
          <w:rFonts w:hint="default" w:cs="宋体"/>
        </w:rPr>
        <w:t>附件 3-2：否决投标情形</w:t>
      </w:r>
    </w:p>
    <w:p>
      <w:pPr>
        <w:pStyle w:val="2"/>
        <w:jc w:val="center"/>
        <w:rPr>
          <w:rFonts w:hint="default" w:cs="宋体"/>
        </w:rPr>
      </w:pPr>
      <w:r>
        <w:rPr>
          <w:rFonts w:hint="default" w:cs="宋体"/>
        </w:rPr>
        <w:t>否决投标情形</w:t>
      </w:r>
    </w:p>
    <w:p>
      <w:pPr>
        <w:pStyle w:val="2"/>
        <w:rPr>
          <w:rFonts w:hint="default" w:cs="宋体"/>
        </w:rPr>
      </w:pPr>
      <w:r>
        <w:rPr>
          <w:rFonts w:hint="default" w:cs="宋体"/>
        </w:rPr>
        <w:t>本附件所集中列示的否决投标情形，是“评标办法”的组成部分，是对“投标人须</w:t>
      </w:r>
    </w:p>
    <w:p>
      <w:pPr>
        <w:pStyle w:val="2"/>
        <w:ind w:left="0" w:leftChars="0" w:firstLine="0" w:firstLineChars="0"/>
        <w:rPr>
          <w:rFonts w:hint="default" w:cs="宋体"/>
        </w:rPr>
      </w:pPr>
      <w:r>
        <w:rPr>
          <w:rFonts w:hint="default" w:cs="宋体"/>
        </w:rPr>
        <w:t>知”和评标办法规定的否决投标情形的总结和补充，如果出现相互矛盾的情况，以“投</w:t>
      </w:r>
    </w:p>
    <w:p>
      <w:pPr>
        <w:pStyle w:val="2"/>
        <w:ind w:left="0" w:leftChars="0" w:firstLine="0" w:firstLineChars="0"/>
        <w:rPr>
          <w:rFonts w:hint="default" w:cs="宋体"/>
        </w:rPr>
      </w:pPr>
      <w:r>
        <w:rPr>
          <w:rFonts w:hint="default" w:cs="宋体"/>
        </w:rPr>
        <w:t>标人须知”和评标办法正文部分的规定为准。</w:t>
      </w:r>
    </w:p>
    <w:p>
      <w:pPr>
        <w:pStyle w:val="2"/>
        <w:rPr>
          <w:rFonts w:hint="default" w:cs="宋体"/>
        </w:rPr>
      </w:pPr>
      <w:r>
        <w:rPr>
          <w:rFonts w:hint="default" w:cs="宋体"/>
        </w:rPr>
        <w:t>投标人或其投标文件有下列情形之一的，其投标应当予以否决：</w:t>
      </w:r>
    </w:p>
    <w:p>
      <w:pPr>
        <w:pStyle w:val="2"/>
        <w:rPr>
          <w:rFonts w:hint="default" w:cs="宋体"/>
        </w:rPr>
      </w:pPr>
      <w:r>
        <w:rPr>
          <w:rFonts w:hint="default" w:cs="宋体"/>
        </w:rPr>
        <w:t>1.1有本章“投标人须知”第 1.4.3项规定的任何一种情形的；</w:t>
      </w:r>
    </w:p>
    <w:p>
      <w:pPr>
        <w:pStyle w:val="2"/>
        <w:rPr>
          <w:rFonts w:hint="default" w:cs="宋体"/>
        </w:rPr>
      </w:pPr>
      <w:r>
        <w:rPr>
          <w:rFonts w:hint="default" w:cs="宋体"/>
        </w:rPr>
        <w:t>1.2投标人以他人名义投标、串通投标、以行贿手段谋取中标的；</w:t>
      </w:r>
    </w:p>
    <w:p>
      <w:pPr>
        <w:pStyle w:val="2"/>
        <w:rPr>
          <w:rFonts w:hint="default" w:cs="宋体"/>
        </w:rPr>
      </w:pPr>
      <w:r>
        <w:rPr>
          <w:rFonts w:hint="default" w:cs="宋体"/>
        </w:rPr>
        <w:t>1.3资格评审时，投标人资格条件不符合国家有关规定或者招标文件要求的，或者拒</w:t>
      </w:r>
    </w:p>
    <w:p>
      <w:pPr>
        <w:pStyle w:val="2"/>
        <w:rPr>
          <w:rFonts w:hint="default" w:cs="宋体"/>
        </w:rPr>
      </w:pPr>
      <w:r>
        <w:rPr>
          <w:rFonts w:hint="default" w:cs="宋体"/>
        </w:rPr>
        <w:t>不按照要求对投标文件进行澄清、说明或补正的，或者提供的澄清、说明、补正无法证明其为合格投标人的；</w:t>
      </w:r>
    </w:p>
    <w:p>
      <w:pPr>
        <w:pStyle w:val="2"/>
        <w:rPr>
          <w:rFonts w:hint="default" w:cs="宋体"/>
        </w:rPr>
      </w:pPr>
      <w:r>
        <w:rPr>
          <w:rFonts w:hint="default" w:cs="宋体"/>
        </w:rPr>
        <w:t>1.4在形式评审、资格评审、响应性评审中，评标委员会认定投标文件不符合评标办</w:t>
      </w:r>
    </w:p>
    <w:p>
      <w:pPr>
        <w:pStyle w:val="2"/>
        <w:ind w:left="0" w:leftChars="0" w:firstLine="0" w:firstLineChars="0"/>
        <w:rPr>
          <w:rFonts w:hint="default" w:cs="宋体"/>
        </w:rPr>
      </w:pPr>
      <w:r>
        <w:rPr>
          <w:rFonts w:hint="default" w:cs="宋体"/>
        </w:rPr>
        <w:t>法规定的任何一项评审标准的；</w:t>
      </w:r>
    </w:p>
    <w:p>
      <w:pPr>
        <w:pStyle w:val="2"/>
        <w:rPr>
          <w:rFonts w:hint="default" w:cs="宋体"/>
        </w:rPr>
      </w:pPr>
      <w:r>
        <w:rPr>
          <w:rFonts w:hint="default" w:cs="宋体"/>
        </w:rPr>
        <w:t>1.5评标委员会认定投标人以低于成本报价竞标的；</w:t>
      </w:r>
    </w:p>
    <w:p>
      <w:pPr>
        <w:pStyle w:val="2"/>
        <w:rPr>
          <w:rFonts w:hint="default" w:cs="宋体"/>
        </w:rPr>
      </w:pPr>
      <w:r>
        <w:rPr>
          <w:rFonts w:hint="default" w:cs="宋体"/>
        </w:rPr>
        <w:t>1.6投标人未按照“投标人须知前附表”规定出席开标会的（本项目不适用）；</w:t>
      </w:r>
    </w:p>
    <w:p>
      <w:pPr>
        <w:pStyle w:val="2"/>
        <w:rPr>
          <w:rFonts w:hint="default" w:cs="宋体"/>
        </w:rPr>
      </w:pPr>
      <w:r>
        <w:rPr>
          <w:rFonts w:hint="default" w:cs="宋体"/>
        </w:rPr>
        <w:t>1.7投标报价有错误的，评标委员会按评标办法“附件3-1 评标详细程序”的有关</w:t>
      </w:r>
    </w:p>
    <w:p>
      <w:pPr>
        <w:pStyle w:val="2"/>
        <w:ind w:left="0" w:leftChars="0" w:firstLine="0" w:firstLineChars="0"/>
        <w:rPr>
          <w:rFonts w:hint="default" w:cs="宋体"/>
        </w:rPr>
      </w:pPr>
      <w:r>
        <w:rPr>
          <w:rFonts w:hint="default" w:cs="宋体"/>
        </w:rPr>
        <w:t>规定对投标报价进行修正，并要求投标人作出书面澄清和确认，投标人拒不作出澄清说</w:t>
      </w:r>
    </w:p>
    <w:p>
      <w:pPr>
        <w:pStyle w:val="2"/>
        <w:ind w:left="0" w:leftChars="0" w:firstLine="0" w:firstLineChars="0"/>
        <w:rPr>
          <w:rFonts w:hint="default" w:cs="宋体"/>
        </w:rPr>
      </w:pPr>
      <w:r>
        <w:rPr>
          <w:rFonts w:hint="default" w:cs="宋体"/>
        </w:rPr>
        <w:t>明和确认的；</w:t>
      </w:r>
    </w:p>
    <w:p>
      <w:pPr>
        <w:pStyle w:val="2"/>
        <w:rPr>
          <w:rFonts w:hint="default" w:cs="宋体"/>
        </w:rPr>
      </w:pPr>
      <w:r>
        <w:rPr>
          <w:rFonts w:hint="default" w:cs="宋体"/>
        </w:rPr>
        <w:t>1.8投标文件存在弄虚作假或者隐瞒事实，或者未按照招标文件要求如实提供有关情</w:t>
      </w:r>
    </w:p>
    <w:p>
      <w:pPr>
        <w:pStyle w:val="2"/>
        <w:ind w:left="0" w:leftChars="0" w:firstLine="0" w:firstLineChars="0"/>
        <w:rPr>
          <w:rFonts w:hint="default" w:cs="宋体"/>
        </w:rPr>
      </w:pPr>
      <w:r>
        <w:rPr>
          <w:rFonts w:hint="default" w:cs="宋体"/>
        </w:rPr>
        <w:t>况和文件，以及证明资料且对投标人有利的，应当否决其投标。被列为中标候选人的，</w:t>
      </w:r>
    </w:p>
    <w:p>
      <w:pPr>
        <w:pStyle w:val="2"/>
        <w:ind w:left="0" w:leftChars="0" w:firstLine="0" w:firstLineChars="0"/>
        <w:rPr>
          <w:rFonts w:hint="default" w:cs="宋体"/>
        </w:rPr>
      </w:pPr>
      <w:r>
        <w:rPr>
          <w:rFonts w:hint="default" w:cs="宋体"/>
        </w:rPr>
        <w:t>应当取消其中标候选人资格；</w:t>
      </w:r>
    </w:p>
    <w:p>
      <w:pPr>
        <w:pStyle w:val="2"/>
        <w:rPr>
          <w:rFonts w:hint="default" w:cs="宋体"/>
        </w:rPr>
      </w:pPr>
      <w:r>
        <w:rPr>
          <w:rFonts w:hint="default" w:cs="宋体"/>
        </w:rPr>
        <w:t>1.9未按招标文件的要求提供投标保证的；</w:t>
      </w:r>
    </w:p>
    <w:p>
      <w:pPr>
        <w:pStyle w:val="2"/>
        <w:rPr>
          <w:rFonts w:hint="default" w:cs="宋体"/>
        </w:rPr>
      </w:pPr>
      <w:r>
        <w:rPr>
          <w:rFonts w:hint="default" w:cs="宋体"/>
        </w:rPr>
        <w:t>1.10法律法规中规定的其他否决投标情况。</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bookmarkEnd w:id="218"/>
    <w:p>
      <w:pPr>
        <w:rPr>
          <w:rFonts w:hint="default"/>
        </w:rPr>
      </w:pPr>
    </w:p>
    <w:p>
      <w:pPr>
        <w:pStyle w:val="2"/>
        <w:rPr>
          <w:rFonts w:hint="default"/>
        </w:rPr>
      </w:pPr>
    </w:p>
    <w:p>
      <w:pPr>
        <w:pStyle w:val="4"/>
        <w:rPr>
          <w:rFonts w:ascii="宋体" w:eastAsia="宋体"/>
          <w:b/>
          <w:sz w:val="48"/>
          <w:szCs w:val="48"/>
        </w:rPr>
      </w:pPr>
      <w:bookmarkStart w:id="219" w:name="_Toc431071429"/>
      <w:r>
        <w:rPr>
          <w:rFonts w:hint="eastAsia" w:ascii="宋体" w:eastAsia="宋体"/>
          <w:b/>
          <w:sz w:val="48"/>
          <w:szCs w:val="48"/>
        </w:rPr>
        <w:t>第四章  合同条款及格式</w:t>
      </w:r>
      <w:bookmarkEnd w:id="219"/>
    </w:p>
    <w:p>
      <w:pPr>
        <w:adjustRightInd w:val="0"/>
        <w:snapToGrid w:val="0"/>
        <w:spacing w:beforeLines="50" w:line="360" w:lineRule="auto"/>
        <w:rPr>
          <w:rFonts w:hint="default"/>
          <w:szCs w:val="21"/>
        </w:rPr>
      </w:pPr>
      <w:bookmarkStart w:id="220" w:name="_Toc422322558"/>
      <w:bookmarkStart w:id="221" w:name="_Toc419045127"/>
      <w:bookmarkStart w:id="222" w:name="_Toc193115803"/>
      <w:bookmarkStart w:id="223" w:name="_Toc235592948"/>
      <w:bookmarkStart w:id="224" w:name="_Toc310493338"/>
      <w:r>
        <w:rPr>
          <w:rFonts w:hint="eastAsia"/>
          <w:szCs w:val="21"/>
          <w:lang w:eastAsia="zh-CN"/>
        </w:rPr>
        <w:t>发包</w:t>
      </w:r>
      <w:r>
        <w:rPr>
          <w:szCs w:val="21"/>
        </w:rPr>
        <w:t>人（全称）：</w:t>
      </w:r>
      <w:r>
        <w:rPr>
          <w:szCs w:val="21"/>
          <w:u w:val="single"/>
        </w:rPr>
        <w:t xml:space="preserve">                             </w:t>
      </w:r>
      <w:r>
        <w:rPr>
          <w:szCs w:val="21"/>
        </w:rPr>
        <w:t>（甲方）</w:t>
      </w:r>
    </w:p>
    <w:p>
      <w:pPr>
        <w:adjustRightInd w:val="0"/>
        <w:snapToGrid w:val="0"/>
        <w:spacing w:beforeLines="50" w:line="360" w:lineRule="auto"/>
        <w:rPr>
          <w:rFonts w:hint="default"/>
          <w:szCs w:val="21"/>
        </w:rPr>
      </w:pPr>
      <w:r>
        <w:rPr>
          <w:rFonts w:hint="eastAsia"/>
          <w:szCs w:val="21"/>
          <w:lang w:eastAsia="zh-CN"/>
        </w:rPr>
        <w:t>咨询</w:t>
      </w:r>
      <w:r>
        <w:rPr>
          <w:szCs w:val="21"/>
        </w:rPr>
        <w:t>人（全称）：</w:t>
      </w:r>
      <w:r>
        <w:rPr>
          <w:szCs w:val="21"/>
          <w:u w:val="single"/>
        </w:rPr>
        <w:t xml:space="preserve">                             </w:t>
      </w:r>
      <w:r>
        <w:rPr>
          <w:szCs w:val="21"/>
        </w:rPr>
        <w:t>（乙方）</w:t>
      </w:r>
    </w:p>
    <w:p>
      <w:pPr>
        <w:pStyle w:val="3"/>
        <w:tabs>
          <w:tab w:val="left" w:pos="2715"/>
        </w:tabs>
        <w:adjustRightInd w:val="0"/>
        <w:snapToGrid w:val="0"/>
        <w:spacing w:beforeLines="50"/>
        <w:rPr>
          <w:szCs w:val="21"/>
        </w:rPr>
      </w:pPr>
      <w:r>
        <w:rPr>
          <w:szCs w:val="21"/>
        </w:rPr>
        <w:tab/>
      </w:r>
    </w:p>
    <w:p>
      <w:pPr>
        <w:pStyle w:val="3"/>
        <w:adjustRightInd w:val="0"/>
        <w:snapToGrid w:val="0"/>
        <w:spacing w:beforeLines="50"/>
        <w:ind w:firstLine="420"/>
        <w:rPr>
          <w:sz w:val="21"/>
          <w:szCs w:val="21"/>
        </w:rPr>
      </w:pPr>
      <w:r>
        <w:rPr>
          <w:rFonts w:hint="eastAsia"/>
          <w:sz w:val="21"/>
          <w:szCs w:val="21"/>
        </w:rPr>
        <w:t>为了保护甲、乙双方合法权益，有关法律、法规、规章，双方签订本合同协议书。</w:t>
      </w:r>
    </w:p>
    <w:p>
      <w:pPr>
        <w:tabs>
          <w:tab w:val="left" w:pos="2760"/>
        </w:tabs>
        <w:adjustRightInd w:val="0"/>
        <w:snapToGrid w:val="0"/>
        <w:spacing w:beforeLines="50" w:line="360" w:lineRule="auto"/>
        <w:ind w:firstLine="482" w:firstLineChars="200"/>
        <w:rPr>
          <w:rFonts w:hint="default"/>
          <w:b/>
          <w:szCs w:val="21"/>
        </w:rPr>
      </w:pPr>
      <w:r>
        <w:rPr>
          <w:b/>
          <w:szCs w:val="21"/>
        </w:rPr>
        <w:t>1.项目管理信息</w:t>
      </w:r>
      <w:r>
        <w:rPr>
          <w:b/>
          <w:szCs w:val="21"/>
        </w:rPr>
        <w:tab/>
      </w:r>
    </w:p>
    <w:p>
      <w:pPr>
        <w:pStyle w:val="3"/>
        <w:adjustRightInd w:val="0"/>
        <w:snapToGrid w:val="0"/>
        <w:spacing w:beforeLines="50"/>
        <w:ind w:firstLine="420"/>
        <w:rPr>
          <w:szCs w:val="21"/>
        </w:rPr>
      </w:pPr>
      <w:r>
        <w:rPr>
          <w:rFonts w:hint="eastAsia"/>
          <w:sz w:val="21"/>
          <w:szCs w:val="21"/>
        </w:rPr>
        <w:t xml:space="preserve">（1）招标方式：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pStyle w:val="3"/>
        <w:adjustRightInd w:val="0"/>
        <w:snapToGrid w:val="0"/>
        <w:spacing w:beforeLines="50"/>
        <w:ind w:firstLine="420"/>
        <w:rPr>
          <w:szCs w:val="21"/>
        </w:rPr>
      </w:pPr>
      <w:r>
        <w:rPr>
          <w:rFonts w:hint="eastAsia"/>
          <w:sz w:val="21"/>
          <w:szCs w:val="21"/>
        </w:rPr>
        <w:t xml:space="preserve">（2）项目名称：   </w:t>
      </w:r>
      <w:r>
        <w:rPr>
          <w:rFonts w:hint="eastAsia"/>
          <w:szCs w:val="21"/>
          <w:u w:val="single"/>
        </w:rPr>
        <w:t xml:space="preserve">                       </w:t>
      </w:r>
    </w:p>
    <w:p>
      <w:pPr>
        <w:adjustRightInd w:val="0"/>
        <w:snapToGrid w:val="0"/>
        <w:spacing w:beforeLines="50" w:line="360" w:lineRule="auto"/>
        <w:ind w:firstLine="482" w:firstLineChars="200"/>
        <w:rPr>
          <w:rFonts w:hint="default"/>
          <w:b/>
          <w:szCs w:val="21"/>
        </w:rPr>
      </w:pPr>
      <w:r>
        <w:rPr>
          <w:b/>
          <w:szCs w:val="21"/>
        </w:rPr>
        <w:t>2.合同标的及金额</w:t>
      </w:r>
    </w:p>
    <w:tbl>
      <w:tblPr>
        <w:tblStyle w:val="18"/>
        <w:tblW w:w="88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序号</w:t>
            </w:r>
          </w:p>
        </w:tc>
        <w:tc>
          <w:tcPr>
            <w:tcW w:w="1900" w:type="dxa"/>
            <w:vAlign w:val="center"/>
          </w:tcPr>
          <w:p>
            <w:pPr>
              <w:adjustRightInd w:val="0"/>
              <w:snapToGrid w:val="0"/>
              <w:spacing w:beforeLines="50" w:line="360" w:lineRule="auto"/>
              <w:jc w:val="center"/>
              <w:rPr>
                <w:rFonts w:hint="default"/>
                <w:szCs w:val="21"/>
              </w:rPr>
            </w:pPr>
            <w:r>
              <w:rPr>
                <w:szCs w:val="21"/>
              </w:rPr>
              <w:t>名称</w:t>
            </w:r>
          </w:p>
        </w:tc>
        <w:tc>
          <w:tcPr>
            <w:tcW w:w="1620" w:type="dxa"/>
            <w:vAlign w:val="center"/>
          </w:tcPr>
          <w:p>
            <w:pPr>
              <w:adjustRightInd w:val="0"/>
              <w:snapToGrid w:val="0"/>
              <w:spacing w:beforeLines="50" w:line="360" w:lineRule="auto"/>
              <w:jc w:val="center"/>
              <w:rPr>
                <w:rFonts w:hint="default"/>
                <w:szCs w:val="21"/>
              </w:rPr>
            </w:pPr>
            <w:r>
              <w:rPr>
                <w:szCs w:val="21"/>
              </w:rPr>
              <w:t>服务内容</w:t>
            </w:r>
          </w:p>
        </w:tc>
        <w:tc>
          <w:tcPr>
            <w:tcW w:w="1125" w:type="dxa"/>
            <w:vAlign w:val="center"/>
          </w:tcPr>
          <w:p>
            <w:pPr>
              <w:adjustRightInd w:val="0"/>
              <w:snapToGrid w:val="0"/>
              <w:spacing w:beforeLines="50" w:line="360" w:lineRule="auto"/>
              <w:jc w:val="center"/>
              <w:rPr>
                <w:rFonts w:hint="default"/>
                <w:szCs w:val="21"/>
              </w:rPr>
            </w:pPr>
            <w:r>
              <w:rPr>
                <w:szCs w:val="21"/>
              </w:rPr>
              <w:t>数量</w:t>
            </w:r>
          </w:p>
        </w:tc>
        <w:tc>
          <w:tcPr>
            <w:tcW w:w="1125" w:type="dxa"/>
            <w:vAlign w:val="center"/>
          </w:tcPr>
          <w:p>
            <w:pPr>
              <w:adjustRightInd w:val="0"/>
              <w:snapToGrid w:val="0"/>
              <w:spacing w:beforeLines="50" w:line="360" w:lineRule="auto"/>
              <w:jc w:val="center"/>
              <w:rPr>
                <w:rFonts w:hint="default"/>
                <w:szCs w:val="21"/>
              </w:rPr>
            </w:pPr>
            <w:r>
              <w:rPr>
                <w:szCs w:val="21"/>
              </w:rPr>
              <w:t>单价</w:t>
            </w:r>
          </w:p>
        </w:tc>
        <w:tc>
          <w:tcPr>
            <w:tcW w:w="1125" w:type="dxa"/>
            <w:vAlign w:val="center"/>
          </w:tcPr>
          <w:p>
            <w:pPr>
              <w:adjustRightInd w:val="0"/>
              <w:snapToGrid w:val="0"/>
              <w:spacing w:beforeLines="50" w:line="360" w:lineRule="auto"/>
              <w:jc w:val="center"/>
              <w:rPr>
                <w:rFonts w:hint="default"/>
                <w:szCs w:val="21"/>
              </w:rPr>
            </w:pPr>
            <w:r>
              <w:rPr>
                <w:szCs w:val="21"/>
              </w:rPr>
              <w:t>总价</w:t>
            </w:r>
          </w:p>
        </w:tc>
        <w:tc>
          <w:tcPr>
            <w:tcW w:w="1125" w:type="dxa"/>
            <w:vAlign w:val="center"/>
          </w:tcPr>
          <w:p>
            <w:pPr>
              <w:adjustRightInd w:val="0"/>
              <w:snapToGrid w:val="0"/>
              <w:spacing w:beforeLines="50" w:line="360" w:lineRule="auto"/>
              <w:jc w:val="center"/>
              <w:rPr>
                <w:rFonts w:hint="default"/>
                <w:szCs w:val="21"/>
              </w:rPr>
            </w:pPr>
            <w:r>
              <w:rPr>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1</w:t>
            </w:r>
          </w:p>
        </w:tc>
        <w:tc>
          <w:tcPr>
            <w:tcW w:w="1900" w:type="dxa"/>
            <w:vAlign w:val="center"/>
          </w:tcPr>
          <w:p>
            <w:pPr>
              <w:adjustRightInd w:val="0"/>
              <w:snapToGrid w:val="0"/>
              <w:spacing w:beforeLines="50" w:line="360" w:lineRule="auto"/>
              <w:jc w:val="center"/>
              <w:rPr>
                <w:rFonts w:hint="default"/>
                <w:color w:val="FF0000"/>
                <w:szCs w:val="21"/>
              </w:rPr>
            </w:pPr>
          </w:p>
        </w:tc>
        <w:tc>
          <w:tcPr>
            <w:tcW w:w="1620" w:type="dxa"/>
            <w:vAlign w:val="center"/>
          </w:tcPr>
          <w:p>
            <w:pPr>
              <w:adjustRightInd w:val="0"/>
              <w:snapToGrid w:val="0"/>
              <w:spacing w:beforeLines="50" w:line="360" w:lineRule="auto"/>
              <w:jc w:val="center"/>
              <w:rPr>
                <w:rFonts w:hint="default"/>
                <w:color w:val="FF0000"/>
                <w:szCs w:val="21"/>
              </w:rPr>
            </w:pPr>
          </w:p>
        </w:tc>
        <w:tc>
          <w:tcPr>
            <w:tcW w:w="1125" w:type="dxa"/>
            <w:vAlign w:val="center"/>
          </w:tcPr>
          <w:p>
            <w:pPr>
              <w:adjustRightInd w:val="0"/>
              <w:snapToGrid w:val="0"/>
              <w:spacing w:beforeLines="50" w:line="360" w:lineRule="auto"/>
              <w:jc w:val="center"/>
              <w:rPr>
                <w:rFonts w:hint="default"/>
                <w:color w:val="FF0000"/>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w:t>
            </w:r>
          </w:p>
        </w:tc>
        <w:tc>
          <w:tcPr>
            <w:tcW w:w="1900" w:type="dxa"/>
            <w:vAlign w:val="center"/>
          </w:tcPr>
          <w:p>
            <w:pPr>
              <w:adjustRightInd w:val="0"/>
              <w:snapToGrid w:val="0"/>
              <w:spacing w:beforeLines="50" w:line="360" w:lineRule="auto"/>
              <w:jc w:val="center"/>
              <w:rPr>
                <w:rFonts w:hint="default"/>
                <w:szCs w:val="21"/>
              </w:rPr>
            </w:pPr>
            <w:r>
              <w:rPr>
                <w:szCs w:val="21"/>
              </w:rPr>
              <w:t>...</w:t>
            </w:r>
          </w:p>
        </w:tc>
        <w:tc>
          <w:tcPr>
            <w:tcW w:w="1620"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vAlign w:val="center"/>
          </w:tcPr>
          <w:p>
            <w:pPr>
              <w:adjustRightInd w:val="0"/>
              <w:snapToGrid w:val="0"/>
              <w:spacing w:beforeLines="50" w:line="360" w:lineRule="auto"/>
              <w:rPr>
                <w:rFonts w:hint="default"/>
                <w:szCs w:val="21"/>
              </w:rPr>
            </w:pPr>
            <w:r>
              <w:rPr>
                <w:szCs w:val="21"/>
              </w:rPr>
              <w:t>合同金额小写：</w:t>
            </w:r>
            <w:r>
              <w:rPr>
                <w:szCs w:val="21"/>
                <w:u w:val="single"/>
              </w:rPr>
              <w:t xml:space="preserve">                      </w:t>
            </w:r>
          </w:p>
          <w:p>
            <w:pPr>
              <w:adjustRightInd w:val="0"/>
              <w:snapToGrid w:val="0"/>
              <w:spacing w:beforeLines="50" w:line="360" w:lineRule="auto"/>
              <w:ind w:firstLine="960" w:firstLineChars="400"/>
              <w:rPr>
                <w:rFonts w:hint="default"/>
                <w:szCs w:val="21"/>
              </w:rPr>
            </w:pPr>
            <w:r>
              <w:rPr>
                <w:szCs w:val="21"/>
              </w:rPr>
              <w:t>大写：</w:t>
            </w:r>
            <w:r>
              <w:rPr>
                <w:szCs w:val="21"/>
                <w:u w:val="single"/>
              </w:rPr>
              <w:t xml:space="preserve">                      </w:t>
            </w:r>
          </w:p>
        </w:tc>
      </w:tr>
    </w:tbl>
    <w:p>
      <w:pPr>
        <w:adjustRightInd w:val="0"/>
        <w:snapToGrid w:val="0"/>
        <w:spacing w:beforeLines="50" w:line="360" w:lineRule="auto"/>
        <w:ind w:firstLine="482" w:firstLineChars="200"/>
        <w:rPr>
          <w:rFonts w:hint="default"/>
          <w:szCs w:val="21"/>
          <w:u w:val="single"/>
        </w:rPr>
      </w:pPr>
      <w:r>
        <w:rPr>
          <w:b/>
          <w:szCs w:val="21"/>
        </w:rPr>
        <w:t>3.履行合同的时间、地点及方式：</w:t>
      </w:r>
      <w:r>
        <w:rPr>
          <w:szCs w:val="21"/>
          <w:u w:val="single"/>
        </w:rPr>
        <w:t xml:space="preserve">                             </w:t>
      </w:r>
    </w:p>
    <w:p>
      <w:pPr>
        <w:adjustRightInd w:val="0"/>
        <w:snapToGrid w:val="0"/>
        <w:spacing w:beforeLines="50" w:line="360" w:lineRule="auto"/>
        <w:ind w:firstLine="482" w:firstLineChars="200"/>
        <w:rPr>
          <w:rFonts w:hint="default"/>
          <w:b/>
          <w:szCs w:val="21"/>
        </w:rPr>
      </w:pPr>
      <w:r>
        <w:rPr>
          <w:b/>
          <w:szCs w:val="21"/>
        </w:rPr>
        <w:t>4.付款人及付款方式：</w:t>
      </w:r>
      <w:r>
        <w:rPr>
          <w:szCs w:val="21"/>
          <w:u w:val="single"/>
        </w:rPr>
        <w:t xml:space="preserve">                                 </w:t>
      </w:r>
    </w:p>
    <w:p>
      <w:pPr>
        <w:adjustRightInd w:val="0"/>
        <w:snapToGrid w:val="0"/>
        <w:spacing w:beforeLines="50" w:line="360" w:lineRule="auto"/>
        <w:ind w:firstLine="482" w:firstLineChars="200"/>
        <w:rPr>
          <w:rFonts w:hint="default"/>
          <w:b/>
          <w:szCs w:val="21"/>
        </w:rPr>
      </w:pPr>
      <w:r>
        <w:rPr>
          <w:b/>
          <w:szCs w:val="21"/>
        </w:rPr>
        <w:t>5.解决合同纠纷方式</w:t>
      </w:r>
    </w:p>
    <w:p>
      <w:pPr>
        <w:adjustRightInd w:val="0"/>
        <w:snapToGrid w:val="0"/>
        <w:spacing w:beforeLines="50" w:line="360" w:lineRule="auto"/>
        <w:ind w:firstLine="480" w:firstLineChars="200"/>
        <w:rPr>
          <w:rFonts w:hint="default"/>
          <w:szCs w:val="21"/>
        </w:rPr>
      </w:pPr>
      <w:r>
        <w:rPr>
          <w:szCs w:val="21"/>
        </w:rPr>
        <w:t>首先通过双方协商解决，协商解决不成，则通过以下途径之一解决纠纷：</w:t>
      </w:r>
    </w:p>
    <w:p>
      <w:pPr>
        <w:adjustRightInd w:val="0"/>
        <w:snapToGrid w:val="0"/>
        <w:spacing w:beforeLines="50" w:line="360" w:lineRule="auto"/>
        <w:ind w:firstLine="960" w:firstLineChars="400"/>
        <w:rPr>
          <w:rFonts w:hint="default"/>
          <w:szCs w:val="21"/>
        </w:rPr>
      </w:pPr>
      <w:r>
        <w:rPr>
          <w:szCs w:val="21"/>
        </w:rPr>
        <w:t>□ 提请仲裁       □ 向人民法院提起诉讼</w:t>
      </w:r>
    </w:p>
    <w:p>
      <w:pPr>
        <w:adjustRightInd w:val="0"/>
        <w:snapToGrid w:val="0"/>
        <w:spacing w:beforeLines="50" w:line="360" w:lineRule="auto"/>
        <w:ind w:firstLine="482" w:firstLineChars="200"/>
        <w:rPr>
          <w:rFonts w:hint="default"/>
          <w:b/>
          <w:szCs w:val="21"/>
        </w:rPr>
      </w:pPr>
      <w:r>
        <w:rPr>
          <w:b/>
          <w:szCs w:val="21"/>
        </w:rPr>
        <w:t>6.组成合同的文件</w:t>
      </w:r>
    </w:p>
    <w:p>
      <w:pPr>
        <w:adjustRightInd w:val="0"/>
        <w:snapToGrid w:val="0"/>
        <w:spacing w:beforeLines="50" w:line="360" w:lineRule="auto"/>
        <w:ind w:firstLine="480" w:firstLineChars="200"/>
        <w:rPr>
          <w:rFonts w:hint="default"/>
          <w:szCs w:val="21"/>
        </w:rPr>
      </w:pPr>
      <w:r>
        <w:rPr>
          <w:szCs w:val="21"/>
        </w:rPr>
        <w:t>合同由以下文件构成，如下述文件之间有任何抵触、矛盾或歧义，应按以下顺序解释：</w:t>
      </w:r>
    </w:p>
    <w:p>
      <w:pPr>
        <w:adjustRightInd w:val="0"/>
        <w:snapToGrid w:val="0"/>
        <w:spacing w:beforeLines="50" w:line="360" w:lineRule="auto"/>
        <w:ind w:firstLine="480" w:firstLineChars="200"/>
        <w:rPr>
          <w:rFonts w:hint="default"/>
          <w:szCs w:val="21"/>
        </w:rPr>
      </w:pPr>
      <w:r>
        <w:rPr>
          <w:szCs w:val="21"/>
        </w:rPr>
        <w:t>（1）在采购或合同履行过程中乙方作出的承诺以及双方协商达成的变更或补充协议</w:t>
      </w:r>
    </w:p>
    <w:p>
      <w:pPr>
        <w:adjustRightInd w:val="0"/>
        <w:snapToGrid w:val="0"/>
        <w:spacing w:beforeLines="50" w:line="360" w:lineRule="auto"/>
        <w:ind w:firstLine="480" w:firstLineChars="200"/>
        <w:rPr>
          <w:rFonts w:hint="default"/>
          <w:szCs w:val="21"/>
        </w:rPr>
      </w:pPr>
      <w:r>
        <w:rPr>
          <w:szCs w:val="21"/>
        </w:rPr>
        <w:t>（2）本合同协议书</w:t>
      </w:r>
    </w:p>
    <w:p>
      <w:pPr>
        <w:adjustRightInd w:val="0"/>
        <w:snapToGrid w:val="0"/>
        <w:spacing w:beforeLines="50" w:line="360" w:lineRule="auto"/>
        <w:ind w:firstLine="480" w:firstLineChars="200"/>
        <w:rPr>
          <w:rFonts w:hint="default"/>
          <w:szCs w:val="21"/>
        </w:rPr>
      </w:pPr>
      <w:r>
        <w:rPr>
          <w:szCs w:val="21"/>
        </w:rPr>
        <w:t>（3）中标或成交通知书</w:t>
      </w:r>
    </w:p>
    <w:p>
      <w:pPr>
        <w:adjustRightInd w:val="0"/>
        <w:snapToGrid w:val="0"/>
        <w:spacing w:beforeLines="50" w:line="360" w:lineRule="auto"/>
        <w:ind w:firstLine="480" w:firstLineChars="200"/>
        <w:rPr>
          <w:rFonts w:hint="default"/>
          <w:szCs w:val="21"/>
        </w:rPr>
      </w:pPr>
      <w:r>
        <w:rPr>
          <w:szCs w:val="21"/>
        </w:rPr>
        <w:t>（4）政府采购合同格式条款</w:t>
      </w:r>
    </w:p>
    <w:p>
      <w:pPr>
        <w:adjustRightInd w:val="0"/>
        <w:snapToGrid w:val="0"/>
        <w:spacing w:beforeLines="50" w:line="360" w:lineRule="auto"/>
        <w:ind w:firstLine="480" w:firstLineChars="200"/>
        <w:rPr>
          <w:rFonts w:hint="default"/>
          <w:szCs w:val="21"/>
        </w:rPr>
      </w:pPr>
      <w:r>
        <w:rPr>
          <w:szCs w:val="21"/>
        </w:rPr>
        <w:t>（5）投标文件</w:t>
      </w:r>
    </w:p>
    <w:p>
      <w:pPr>
        <w:adjustRightInd w:val="0"/>
        <w:snapToGrid w:val="0"/>
        <w:spacing w:beforeLines="50" w:line="360" w:lineRule="auto"/>
        <w:ind w:firstLine="480" w:firstLineChars="200"/>
        <w:rPr>
          <w:rFonts w:hint="default"/>
          <w:szCs w:val="21"/>
        </w:rPr>
      </w:pPr>
      <w:r>
        <w:rPr>
          <w:szCs w:val="21"/>
        </w:rPr>
        <w:t>（6）招标文件</w:t>
      </w:r>
    </w:p>
    <w:p>
      <w:pPr>
        <w:adjustRightInd w:val="0"/>
        <w:snapToGrid w:val="0"/>
        <w:spacing w:beforeLines="50" w:line="360" w:lineRule="auto"/>
        <w:ind w:firstLine="480" w:firstLineChars="200"/>
        <w:rPr>
          <w:rFonts w:hint="default"/>
          <w:szCs w:val="21"/>
        </w:rPr>
      </w:pPr>
      <w:r>
        <w:rPr>
          <w:szCs w:val="21"/>
        </w:rPr>
        <w:t>（7）标准、规范及有关技术文件</w:t>
      </w:r>
    </w:p>
    <w:p>
      <w:pPr>
        <w:adjustRightInd w:val="0"/>
        <w:snapToGrid w:val="0"/>
        <w:spacing w:beforeLines="50" w:line="360" w:lineRule="auto"/>
        <w:ind w:firstLine="482" w:firstLineChars="200"/>
        <w:rPr>
          <w:rFonts w:hint="default"/>
          <w:b/>
          <w:szCs w:val="21"/>
        </w:rPr>
      </w:pPr>
      <w:r>
        <w:rPr>
          <w:b/>
          <w:szCs w:val="21"/>
        </w:rPr>
        <w:t>7.合同生效</w:t>
      </w:r>
    </w:p>
    <w:p>
      <w:pPr>
        <w:adjustRightInd w:val="0"/>
        <w:snapToGrid w:val="0"/>
        <w:spacing w:beforeLines="50" w:line="360" w:lineRule="auto"/>
        <w:ind w:firstLine="480" w:firstLineChars="200"/>
        <w:rPr>
          <w:rFonts w:hint="default"/>
          <w:szCs w:val="21"/>
        </w:rPr>
      </w:pPr>
      <w:r>
        <w:rPr>
          <w:szCs w:val="21"/>
        </w:rPr>
        <w:t>本合同自</w:t>
      </w:r>
      <w:r>
        <w:rPr>
          <w:szCs w:val="21"/>
          <w:u w:val="single"/>
        </w:rPr>
        <w:t xml:space="preserve">                              </w:t>
      </w:r>
      <w:r>
        <w:rPr>
          <w:szCs w:val="21"/>
        </w:rPr>
        <w:t>生效。</w:t>
      </w:r>
    </w:p>
    <w:p>
      <w:pPr>
        <w:adjustRightInd w:val="0"/>
        <w:snapToGrid w:val="0"/>
        <w:spacing w:beforeLines="50" w:line="360" w:lineRule="auto"/>
        <w:ind w:firstLine="482" w:firstLineChars="200"/>
        <w:rPr>
          <w:rFonts w:hint="default"/>
          <w:b/>
          <w:szCs w:val="21"/>
        </w:rPr>
      </w:pPr>
      <w:r>
        <w:rPr>
          <w:b/>
          <w:szCs w:val="21"/>
        </w:rPr>
        <w:t>8.合同份数</w:t>
      </w:r>
    </w:p>
    <w:p>
      <w:pPr>
        <w:adjustRightInd w:val="0"/>
        <w:snapToGrid w:val="0"/>
        <w:spacing w:beforeLines="50" w:line="360" w:lineRule="auto"/>
        <w:ind w:firstLine="480" w:firstLineChars="200"/>
        <w:rPr>
          <w:rFonts w:hint="default"/>
          <w:szCs w:val="21"/>
        </w:rPr>
      </w:pPr>
      <w:r>
        <w:rPr>
          <w:szCs w:val="21"/>
        </w:rPr>
        <w:t>本合同一式  份，甲方、乙方各 份，监管部门 份。</w:t>
      </w:r>
    </w:p>
    <w:p>
      <w:pPr>
        <w:adjustRightInd w:val="0"/>
        <w:snapToGrid w:val="0"/>
        <w:spacing w:beforeLines="50" w:line="360" w:lineRule="auto"/>
        <w:ind w:firstLine="480" w:firstLineChars="200"/>
        <w:rPr>
          <w:rFonts w:hint="default"/>
          <w:szCs w:val="21"/>
        </w:rPr>
      </w:pPr>
    </w:p>
    <w:p>
      <w:pPr>
        <w:adjustRightInd w:val="0"/>
        <w:snapToGrid w:val="0"/>
        <w:spacing w:beforeLines="50" w:line="360" w:lineRule="auto"/>
        <w:rPr>
          <w:rFonts w:hint="default"/>
          <w:szCs w:val="21"/>
        </w:rPr>
      </w:pPr>
      <w:r>
        <w:rPr>
          <w:szCs w:val="21"/>
        </w:rPr>
        <w:t>合同订立时间：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djustRightInd w:val="0"/>
        <w:snapToGrid w:val="0"/>
        <w:spacing w:beforeLines="50" w:line="360" w:lineRule="auto"/>
        <w:rPr>
          <w:rFonts w:hint="default"/>
          <w:szCs w:val="21"/>
        </w:rPr>
      </w:pPr>
      <w:r>
        <w:rPr>
          <w:szCs w:val="21"/>
        </w:rPr>
        <w:t>合同订立地点：</w:t>
      </w:r>
      <w:r>
        <w:rPr>
          <w:szCs w:val="21"/>
          <w:u w:val="single"/>
        </w:rPr>
        <w:t xml:space="preserve">                           </w:t>
      </w:r>
    </w:p>
    <w:p>
      <w:pPr>
        <w:adjustRightInd w:val="0"/>
        <w:snapToGrid w:val="0"/>
        <w:spacing w:beforeLines="50" w:line="360" w:lineRule="auto"/>
        <w:rPr>
          <w:rFonts w:hint="default"/>
          <w:szCs w:val="21"/>
        </w:rPr>
      </w:pPr>
    </w:p>
    <w:tbl>
      <w:tblPr>
        <w:tblStyle w:val="18"/>
        <w:tblW w:w="8952" w:type="dxa"/>
        <w:tblInd w:w="108" w:type="dxa"/>
        <w:tblLayout w:type="fixed"/>
        <w:tblCellMar>
          <w:top w:w="0" w:type="dxa"/>
          <w:left w:w="108" w:type="dxa"/>
          <w:bottom w:w="0" w:type="dxa"/>
          <w:right w:w="108" w:type="dxa"/>
        </w:tblCellMar>
      </w:tblPr>
      <w:tblGrid>
        <w:gridCol w:w="4874"/>
        <w:gridCol w:w="4078"/>
      </w:tblGrid>
      <w:tr>
        <w:tblPrEx>
          <w:tblCellMar>
            <w:top w:w="0" w:type="dxa"/>
            <w:left w:w="108" w:type="dxa"/>
            <w:bottom w:w="0" w:type="dxa"/>
            <w:right w:w="108" w:type="dxa"/>
          </w:tblCellMar>
        </w:tblPrEx>
        <w:trPr>
          <w:cantSplit/>
          <w:trHeight w:val="3469" w:hRule="atLeast"/>
        </w:trPr>
        <w:tc>
          <w:tcPr>
            <w:tcW w:w="4874" w:type="dxa"/>
          </w:tcPr>
          <w:p>
            <w:pPr>
              <w:adjustRightInd w:val="0"/>
              <w:snapToGrid w:val="0"/>
              <w:spacing w:beforeLines="50" w:line="360" w:lineRule="auto"/>
              <w:ind w:firstLine="480" w:firstLineChars="200"/>
              <w:rPr>
                <w:rFonts w:hint="default"/>
                <w:szCs w:val="21"/>
              </w:rPr>
            </w:pPr>
            <w:r>
              <w:rPr>
                <w:szCs w:val="21"/>
              </w:rPr>
              <w:t>甲方（盖章）：</w:t>
            </w:r>
          </w:p>
          <w:p>
            <w:pPr>
              <w:adjustRightInd w:val="0"/>
              <w:snapToGrid w:val="0"/>
              <w:spacing w:beforeLines="50" w:line="360" w:lineRule="auto"/>
              <w:ind w:firstLine="480" w:firstLineChars="200"/>
              <w:rPr>
                <w:rFonts w:hint="default"/>
                <w:szCs w:val="21"/>
              </w:rPr>
            </w:pPr>
            <w:r>
              <w:rPr>
                <w:szCs w:val="21"/>
              </w:rPr>
              <w:t>法定代表人：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委托代理人：</w:t>
            </w:r>
            <w:r>
              <w:rPr>
                <w:szCs w:val="21"/>
                <w:u w:val="single"/>
              </w:rPr>
              <w:t xml:space="preserve">           </w:t>
            </w:r>
          </w:p>
          <w:p>
            <w:pPr>
              <w:adjustRightInd w:val="0"/>
              <w:snapToGrid w:val="0"/>
              <w:spacing w:beforeLines="50" w:line="360" w:lineRule="auto"/>
              <w:ind w:firstLine="480" w:firstLineChars="200"/>
              <w:rPr>
                <w:rFonts w:hint="default"/>
                <w:szCs w:val="21"/>
                <w:u w:val="single"/>
              </w:rPr>
            </w:pPr>
            <w:r>
              <w:rPr>
                <w:szCs w:val="21"/>
              </w:rPr>
              <w:t>联系电话：</w:t>
            </w:r>
            <w:r>
              <w:rPr>
                <w:szCs w:val="21"/>
                <w:u w:val="single"/>
              </w:rPr>
              <w:t xml:space="preserve">             </w:t>
            </w:r>
          </w:p>
          <w:p>
            <w:pPr>
              <w:adjustRightInd w:val="0"/>
              <w:snapToGrid w:val="0"/>
              <w:spacing w:beforeLines="50" w:line="360" w:lineRule="auto"/>
              <w:ind w:firstLine="480" w:firstLineChars="200"/>
              <w:rPr>
                <w:rFonts w:hint="default"/>
                <w:szCs w:val="21"/>
                <w:u w:val="single"/>
              </w:rPr>
            </w:pPr>
            <w:r>
              <w:rPr>
                <w:szCs w:val="21"/>
              </w:rPr>
              <w:t>单位地址：</w:t>
            </w:r>
            <w:r>
              <w:rPr>
                <w:szCs w:val="21"/>
                <w:u w:val="single"/>
              </w:rPr>
              <w:t xml:space="preserve">             </w:t>
            </w:r>
          </w:p>
          <w:p>
            <w:pPr>
              <w:adjustRightInd w:val="0"/>
              <w:snapToGrid w:val="0"/>
              <w:spacing w:beforeLines="50" w:line="360" w:lineRule="auto"/>
              <w:ind w:firstLine="480" w:firstLineChars="200"/>
              <w:rPr>
                <w:rFonts w:hint="default"/>
                <w:szCs w:val="21"/>
              </w:rPr>
            </w:pPr>
          </w:p>
        </w:tc>
        <w:tc>
          <w:tcPr>
            <w:tcW w:w="4078" w:type="dxa"/>
          </w:tcPr>
          <w:p>
            <w:pPr>
              <w:adjustRightInd w:val="0"/>
              <w:snapToGrid w:val="0"/>
              <w:spacing w:beforeLines="50" w:line="360" w:lineRule="auto"/>
              <w:ind w:firstLine="480" w:firstLineChars="200"/>
              <w:rPr>
                <w:rFonts w:hint="default"/>
                <w:szCs w:val="21"/>
              </w:rPr>
            </w:pPr>
            <w:r>
              <w:rPr>
                <w:szCs w:val="21"/>
              </w:rPr>
              <w:t>乙方（盖章）：</w:t>
            </w:r>
          </w:p>
          <w:p>
            <w:pPr>
              <w:adjustRightInd w:val="0"/>
              <w:snapToGrid w:val="0"/>
              <w:spacing w:beforeLines="50" w:line="360" w:lineRule="auto"/>
              <w:ind w:firstLine="480" w:firstLineChars="200"/>
              <w:rPr>
                <w:rFonts w:hint="default"/>
                <w:szCs w:val="21"/>
              </w:rPr>
            </w:pPr>
            <w:r>
              <w:rPr>
                <w:szCs w:val="21"/>
              </w:rPr>
              <w:t>法定代表人：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委托代理人：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联系电话：</w:t>
            </w:r>
          </w:p>
          <w:p>
            <w:pPr>
              <w:adjustRightInd w:val="0"/>
              <w:snapToGrid w:val="0"/>
              <w:spacing w:beforeLines="50" w:line="360" w:lineRule="auto"/>
              <w:ind w:firstLine="480" w:firstLineChars="200"/>
              <w:rPr>
                <w:rFonts w:hint="default"/>
                <w:szCs w:val="21"/>
              </w:rPr>
            </w:pPr>
            <w:r>
              <w:rPr>
                <w:szCs w:val="21"/>
              </w:rPr>
              <w:t>单位地址：</w:t>
            </w:r>
          </w:p>
          <w:p>
            <w:pPr>
              <w:adjustRightInd w:val="0"/>
              <w:snapToGrid w:val="0"/>
              <w:spacing w:beforeLines="50" w:line="360" w:lineRule="auto"/>
              <w:ind w:firstLine="480" w:firstLineChars="200"/>
              <w:rPr>
                <w:rFonts w:hint="default"/>
                <w:szCs w:val="21"/>
              </w:rPr>
            </w:pPr>
            <w:r>
              <w:rPr>
                <w:szCs w:val="21"/>
              </w:rPr>
              <w:t>开户银行：</w:t>
            </w:r>
          </w:p>
          <w:p>
            <w:pPr>
              <w:adjustRightInd w:val="0"/>
              <w:snapToGrid w:val="0"/>
              <w:spacing w:beforeLines="50" w:line="360" w:lineRule="auto"/>
              <w:ind w:firstLine="480" w:firstLineChars="200"/>
              <w:rPr>
                <w:rFonts w:hint="default"/>
                <w:szCs w:val="21"/>
              </w:rPr>
            </w:pPr>
            <w:r>
              <w:rPr>
                <w:szCs w:val="21"/>
              </w:rPr>
              <w:t>账    号：</w:t>
            </w:r>
          </w:p>
          <w:p>
            <w:pPr>
              <w:adjustRightInd w:val="0"/>
              <w:snapToGrid w:val="0"/>
              <w:spacing w:beforeLines="50" w:line="360" w:lineRule="auto"/>
              <w:ind w:firstLine="480" w:firstLineChars="200"/>
              <w:rPr>
                <w:rFonts w:hint="default"/>
                <w:szCs w:val="21"/>
              </w:rPr>
            </w:pPr>
          </w:p>
        </w:tc>
      </w:tr>
    </w:tbl>
    <w:p>
      <w:pPr>
        <w:widowControl/>
        <w:spacing w:line="360" w:lineRule="auto"/>
        <w:ind w:firstLine="420"/>
        <w:jc w:val="center"/>
        <w:rPr>
          <w:rFonts w:hint="default" w:ascii="黑体" w:hAnsi="华文中宋" w:eastAsia="黑体"/>
          <w:b/>
          <w:iCs/>
          <w:color w:val="000000"/>
          <w:sz w:val="32"/>
          <w:szCs w:val="32"/>
        </w:rPr>
      </w:pPr>
    </w:p>
    <w:p>
      <w:pPr>
        <w:widowControl/>
        <w:spacing w:line="360" w:lineRule="auto"/>
        <w:ind w:firstLine="420"/>
        <w:jc w:val="center"/>
        <w:rPr>
          <w:rFonts w:hint="default" w:ascii="黑体" w:hAnsi="华文中宋" w:eastAsia="黑体"/>
          <w:b/>
          <w:iCs/>
          <w:color w:val="000000"/>
          <w:sz w:val="32"/>
          <w:szCs w:val="32"/>
        </w:rPr>
      </w:pPr>
    </w:p>
    <w:bookmarkEnd w:id="220"/>
    <w:bookmarkEnd w:id="221"/>
    <w:p>
      <w:pPr>
        <w:pStyle w:val="4"/>
        <w:rPr>
          <w:rFonts w:ascii="宋体" w:eastAsia="宋体"/>
          <w:b/>
          <w:sz w:val="48"/>
          <w:szCs w:val="48"/>
        </w:rPr>
      </w:pPr>
      <w:bookmarkStart w:id="225" w:name="_Toc431071433"/>
      <w:r>
        <w:rPr>
          <w:rFonts w:hint="eastAsia" w:ascii="宋体" w:eastAsia="宋体"/>
          <w:b/>
          <w:sz w:val="48"/>
          <w:szCs w:val="48"/>
        </w:rPr>
        <w:t xml:space="preserve">第五章  </w:t>
      </w:r>
      <w:bookmarkEnd w:id="222"/>
      <w:bookmarkEnd w:id="223"/>
      <w:r>
        <w:rPr>
          <w:rFonts w:hint="eastAsia" w:ascii="宋体" w:eastAsia="宋体"/>
          <w:b/>
          <w:sz w:val="48"/>
          <w:szCs w:val="48"/>
        </w:rPr>
        <w:t>图纸及其他</w:t>
      </w:r>
      <w:bookmarkEnd w:id="224"/>
      <w:bookmarkEnd w:id="225"/>
      <w:r>
        <w:rPr>
          <w:rFonts w:hint="eastAsia" w:ascii="宋体" w:eastAsia="宋体"/>
          <w:b/>
          <w:sz w:val="48"/>
          <w:szCs w:val="48"/>
        </w:rPr>
        <w:t>（本项目不提供）</w:t>
      </w:r>
    </w:p>
    <w:p>
      <w:pPr>
        <w:spacing w:line="360" w:lineRule="auto"/>
        <w:jc w:val="center"/>
        <w:rPr>
          <w:rFonts w:hint="default"/>
          <w:sz w:val="44"/>
        </w:rPr>
      </w:pPr>
    </w:p>
    <w:p>
      <w:pPr>
        <w:spacing w:line="360" w:lineRule="auto"/>
        <w:rPr>
          <w:rFonts w:hint="default"/>
        </w:rPr>
      </w:pPr>
    </w:p>
    <w:p>
      <w:pPr>
        <w:spacing w:line="360" w:lineRule="auto"/>
        <w:rPr>
          <w:rFonts w:hint="default"/>
        </w:rPr>
      </w:pPr>
      <w:bookmarkStart w:id="226" w:name="_Hlt232501873"/>
      <w:bookmarkEnd w:id="226"/>
      <w:bookmarkStart w:id="227" w:name="_Hlt226599232"/>
      <w:bookmarkEnd w:id="227"/>
      <w:r>
        <w:rPr>
          <w:rFonts w:hint="default"/>
        </w:rPr>
        <w:br w:type="page"/>
      </w:r>
    </w:p>
    <w:p>
      <w:pPr>
        <w:pStyle w:val="4"/>
        <w:rPr>
          <w:rFonts w:ascii="宋体" w:eastAsia="宋体"/>
          <w:b/>
          <w:sz w:val="48"/>
          <w:szCs w:val="48"/>
        </w:rPr>
      </w:pPr>
      <w:bookmarkStart w:id="228" w:name="_Hlt226552172"/>
      <w:bookmarkEnd w:id="228"/>
      <w:bookmarkStart w:id="229" w:name="_Toc238546339"/>
      <w:bookmarkStart w:id="230" w:name="_Toc235592955"/>
      <w:bookmarkStart w:id="231" w:name="_Toc193115817"/>
      <w:bookmarkStart w:id="232" w:name="_Toc431071434"/>
      <w:bookmarkStart w:id="233" w:name="_Toc310522248"/>
      <w:r>
        <w:rPr>
          <w:rFonts w:hint="eastAsia" w:ascii="宋体" w:eastAsia="宋体"/>
          <w:b/>
          <w:sz w:val="48"/>
          <w:szCs w:val="48"/>
        </w:rPr>
        <w:t>第六章  投标文件格式</w:t>
      </w:r>
      <w:bookmarkEnd w:id="229"/>
      <w:bookmarkEnd w:id="230"/>
      <w:bookmarkEnd w:id="231"/>
      <w:r>
        <w:rPr>
          <w:rFonts w:hint="eastAsia" w:ascii="宋体" w:eastAsia="宋体"/>
          <w:b/>
          <w:sz w:val="48"/>
          <w:szCs w:val="48"/>
        </w:rPr>
        <w:t>及组成</w:t>
      </w:r>
      <w:bookmarkEnd w:id="232"/>
      <w:bookmarkEnd w:id="233"/>
    </w:p>
    <w:p>
      <w:pPr>
        <w:pStyle w:val="16"/>
        <w:widowControl w:val="0"/>
        <w:spacing w:before="0" w:beforeAutospacing="0" w:after="0" w:afterAutospacing="0" w:line="360" w:lineRule="auto"/>
        <w:rPr>
          <w:rFonts w:ascii="宋体" w:hAnsi="宋体"/>
          <w:u w:val="single"/>
        </w:rPr>
      </w:pPr>
    </w:p>
    <w:p>
      <w:pPr>
        <w:pStyle w:val="16"/>
        <w:widowControl w:val="0"/>
        <w:spacing w:before="0" w:beforeAutospacing="0" w:after="0" w:afterAutospacing="0" w:line="360" w:lineRule="auto"/>
        <w:rPr>
          <w:rFonts w:ascii="宋体" w:hAnsi="宋体"/>
          <w:u w:val="single"/>
        </w:rPr>
      </w:pPr>
    </w:p>
    <w:p>
      <w:pPr>
        <w:pStyle w:val="16"/>
        <w:widowControl w:val="0"/>
        <w:spacing w:before="0" w:beforeAutospacing="0" w:after="0" w:afterAutospacing="0" w:line="360" w:lineRule="auto"/>
        <w:rPr>
          <w:rFonts w:ascii="宋体" w:hAnsi="宋体"/>
          <w:u w:val="single"/>
        </w:rPr>
      </w:pPr>
      <w:r>
        <w:rPr>
          <w:rFonts w:ascii="宋体" w:hAnsi="宋体"/>
          <w:sz w:val="20"/>
          <w:u w:val="single"/>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-197485</wp:posOffset>
                </wp:positionV>
                <wp:extent cx="1266825" cy="495300"/>
                <wp:effectExtent l="4445" t="4445" r="5080" b="14605"/>
                <wp:wrapNone/>
                <wp:docPr id="8"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rgbClr val="FFFFFF"/>
                        </a:solidFill>
                        <a:ln w="9525">
                          <a:solidFill>
                            <a:srgbClr val="000000"/>
                          </a:solidFill>
                          <a:miter lim="800000"/>
                        </a:ln>
                        <a:effectLst/>
                      </wps:spPr>
                      <wps:txbx>
                        <w:txbxContent>
                          <w:p>
                            <w:pPr>
                              <w:spacing w:beforeLines="60" w:line="360" w:lineRule="auto"/>
                              <w:rPr>
                                <w:rFonts w:hint="default"/>
                                <w:sz w:val="28"/>
                                <w:szCs w:val="28"/>
                              </w:rPr>
                            </w:pPr>
                            <w:r>
                              <w:rPr>
                                <w:rFonts w:ascii="黑体" w:hAnsi="Arial" w:eastAsia="黑体"/>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357pt;margin-top:-15.55pt;height:39pt;width:99.75pt;z-index:251659264;mso-width-relative:page;mso-height-relative:page;" fillcolor="#FFFFFF" filled="t" stroked="t" coordsize="21600,21600" o:gfxdata="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x8U2gAAAAoBAAAPAAAAAAAAAAEAIAAAACIAAABkcnMvZG93bnJl&#10;di54bWxQSwECFAAUAAAACACHTuJAWnhVgTQCAACVBAAADgAAAAAAAAABACAAAAApAQAAZHJzL2Uy&#10;b0RvYy54bWxQSwUGAAAAAAYABgBZAQAAzwUAAAAA&#10;">
                <v:fill on="t" focussize="0,0"/>
                <v:stroke color="#000000" miterlimit="8" joinstyle="miter"/>
                <v:imagedata o:title=""/>
                <o:lock v:ext="edit" aspectratio="f"/>
                <v:textbox>
                  <w:txbxContent>
                    <w:p>
                      <w:pPr>
                        <w:spacing w:beforeLines="60" w:line="360" w:lineRule="auto"/>
                        <w:rPr>
                          <w:rFonts w:hint="default"/>
                          <w:sz w:val="28"/>
                          <w:szCs w:val="28"/>
                        </w:rPr>
                      </w:pPr>
                      <w:r>
                        <w:rPr>
                          <w:rFonts w:ascii="黑体" w:hAnsi="Arial" w:eastAsia="黑体"/>
                          <w:sz w:val="28"/>
                          <w:szCs w:val="28"/>
                        </w:rPr>
                        <w:t>正本（或副本）</w:t>
                      </w:r>
                    </w:p>
                  </w:txbxContent>
                </v:textbox>
              </v:shape>
            </w:pict>
          </mc:Fallback>
        </mc:AlternateContent>
      </w:r>
    </w:p>
    <w:p>
      <w:pPr>
        <w:pStyle w:val="16"/>
        <w:widowControl w:val="0"/>
        <w:spacing w:before="0" w:beforeAutospacing="0" w:after="0" w:afterAutospacing="0" w:line="360" w:lineRule="auto"/>
        <w:rPr>
          <w:rFonts w:ascii="宋体" w:hAnsi="宋体"/>
          <w:u w:val="single"/>
        </w:rPr>
      </w:pPr>
    </w:p>
    <w:p>
      <w:pPr>
        <w:snapToGrid w:val="0"/>
        <w:spacing w:line="360" w:lineRule="auto"/>
        <w:jc w:val="center"/>
        <w:textAlignment w:val="baseline"/>
        <w:rPr>
          <w:rFonts w:hint="default" w:ascii="黑体" w:eastAsia="黑体"/>
          <w:sz w:val="30"/>
        </w:rPr>
      </w:pPr>
      <w:bookmarkStart w:id="234" w:name="_Hlt235591103"/>
      <w:bookmarkStart w:id="235" w:name="_Hlt232658182"/>
    </w:p>
    <w:p>
      <w:pPr>
        <w:snapToGrid w:val="0"/>
        <w:spacing w:line="360" w:lineRule="auto"/>
        <w:jc w:val="center"/>
        <w:textAlignment w:val="baseline"/>
        <w:rPr>
          <w:rFonts w:hint="default" w:ascii="黑体" w:eastAsia="黑体"/>
          <w:sz w:val="30"/>
        </w:rPr>
      </w:pPr>
      <w:r>
        <w:rPr>
          <w:rFonts w:hint="eastAsia" w:ascii="黑体" w:eastAsia="黑体"/>
          <w:sz w:val="30"/>
          <w:lang w:eastAsia="zh-CN"/>
        </w:rPr>
        <w:t>浏阳市人民医院小项目预算定点单位入围招标</w:t>
      </w:r>
    </w:p>
    <w:p>
      <w:pPr>
        <w:pStyle w:val="16"/>
        <w:widowControl w:val="0"/>
        <w:spacing w:before="0" w:beforeAutospacing="0" w:after="0" w:afterAutospacing="0" w:line="360" w:lineRule="auto"/>
        <w:jc w:val="center"/>
        <w:rPr>
          <w:rFonts w:ascii="黑体" w:hAnsi="黑体" w:eastAsia="黑体" w:cs="黑体"/>
          <w:sz w:val="36"/>
          <w:szCs w:val="36"/>
        </w:rPr>
      </w:pPr>
    </w:p>
    <w:bookmarkEnd w:id="234"/>
    <w:p>
      <w:pPr>
        <w:pStyle w:val="16"/>
        <w:jc w:val="center"/>
        <w:rPr>
          <w:rFonts w:ascii="宋体" w:hAnsi="宋体"/>
          <w:sz w:val="84"/>
        </w:rPr>
      </w:pPr>
      <w:r>
        <w:rPr>
          <w:rFonts w:hint="eastAsia" w:ascii="宋体" w:hAnsi="宋体"/>
          <w:b/>
          <w:bCs/>
          <w:sz w:val="84"/>
        </w:rPr>
        <w:t>投  标  文  件</w:t>
      </w: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ind w:firstLine="2400" w:firstLineChars="750"/>
        <w:rPr>
          <w:rFonts w:ascii="宋体" w:hAnsi="宋体"/>
          <w:sz w:val="32"/>
          <w:u w:val="single"/>
        </w:rPr>
      </w:pPr>
    </w:p>
    <w:p>
      <w:pPr>
        <w:pStyle w:val="16"/>
        <w:rPr>
          <w:rFonts w:ascii="宋体" w:hAnsi="宋体"/>
        </w:rPr>
      </w:pPr>
    </w:p>
    <w:p>
      <w:pPr>
        <w:pStyle w:val="16"/>
        <w:jc w:val="center"/>
        <w:rPr>
          <w:rFonts w:ascii="宋体" w:hAnsi="宋体"/>
          <w:sz w:val="28"/>
        </w:rPr>
      </w:pPr>
    </w:p>
    <w:p>
      <w:pPr>
        <w:pStyle w:val="16"/>
        <w:jc w:val="center"/>
        <w:rPr>
          <w:rFonts w:ascii="宋体" w:hAnsi="宋体"/>
          <w:sz w:val="28"/>
        </w:rPr>
      </w:pPr>
    </w:p>
    <w:bookmarkEnd w:id="235"/>
    <w:p>
      <w:pPr>
        <w:pStyle w:val="16"/>
        <w:rPr>
          <w:rFonts w:ascii="宋体" w:hAnsi="宋体"/>
        </w:rPr>
      </w:pPr>
    </w:p>
    <w:p>
      <w:pPr>
        <w:spacing w:line="480" w:lineRule="auto"/>
        <w:jc w:val="center"/>
        <w:rPr>
          <w:rFonts w:hint="default"/>
          <w:sz w:val="28"/>
          <w:u w:val="single"/>
        </w:rPr>
      </w:pPr>
      <w:r>
        <w:rPr>
          <w:sz w:val="28"/>
        </w:rPr>
        <w:t>投  标  人：</w:t>
      </w:r>
      <w:r>
        <w:rPr>
          <w:sz w:val="28"/>
          <w:u w:val="single"/>
        </w:rPr>
        <w:t xml:space="preserve">            （全称）       </w:t>
      </w:r>
      <w:r>
        <w:rPr>
          <w:sz w:val="28"/>
        </w:rPr>
        <w:t>（盖单位公章）</w:t>
      </w:r>
    </w:p>
    <w:p>
      <w:pPr>
        <w:spacing w:line="480" w:lineRule="auto"/>
        <w:jc w:val="center"/>
        <w:rPr>
          <w:rFonts w:hint="default"/>
          <w:sz w:val="28"/>
        </w:rPr>
      </w:pPr>
      <w:r>
        <w:rPr>
          <w:sz w:val="28"/>
        </w:rPr>
        <w:t xml:space="preserve">    法定代表人或其委托代理人：（签字或盖章）</w:t>
      </w:r>
    </w:p>
    <w:p>
      <w:pPr>
        <w:spacing w:line="480" w:lineRule="auto"/>
        <w:jc w:val="center"/>
        <w:rPr>
          <w:rFonts w:hint="default"/>
        </w:rPr>
      </w:pPr>
      <w:r>
        <w:rPr>
          <w:sz w:val="28"/>
        </w:rPr>
        <w:t>年月日</w:t>
      </w:r>
    </w:p>
    <w:p>
      <w:pPr>
        <w:spacing w:line="360" w:lineRule="auto"/>
        <w:rPr>
          <w:rFonts w:hint="default"/>
        </w:rPr>
      </w:pPr>
    </w:p>
    <w:p>
      <w:pPr>
        <w:spacing w:line="360" w:lineRule="auto"/>
        <w:jc w:val="center"/>
        <w:rPr>
          <w:rFonts w:hint="default"/>
          <w:sz w:val="44"/>
        </w:rPr>
      </w:pPr>
      <w:r>
        <w:rPr>
          <w:sz w:val="44"/>
        </w:rPr>
        <w:t>目    录</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一、</w:t>
      </w:r>
      <w:r>
        <w:rPr>
          <w:rFonts w:hint="eastAsia" w:ascii="宋体" w:hAnsi="宋体"/>
          <w:sz w:val="21"/>
          <w:szCs w:val="21"/>
        </w:rPr>
        <w:t>投标函</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二、</w:t>
      </w:r>
      <w:r>
        <w:rPr>
          <w:rFonts w:hint="eastAsia" w:ascii="宋体" w:hAnsi="宋体"/>
          <w:sz w:val="21"/>
          <w:szCs w:val="21"/>
        </w:rPr>
        <w:t>法定代表人资格证明书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三、</w:t>
      </w:r>
      <w:r>
        <w:rPr>
          <w:rFonts w:hint="eastAsia" w:ascii="宋体" w:hAnsi="宋体"/>
          <w:sz w:val="21"/>
          <w:szCs w:val="21"/>
        </w:rPr>
        <w:t>授权委托书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四、</w:t>
      </w:r>
      <w:r>
        <w:rPr>
          <w:rFonts w:hint="eastAsia" w:ascii="宋体" w:hAnsi="宋体"/>
          <w:sz w:val="21"/>
          <w:szCs w:val="21"/>
        </w:rPr>
        <w:t>投标承诺书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五、</w:t>
      </w:r>
      <w:r>
        <w:rPr>
          <w:rFonts w:ascii="宋体" w:hAnsi="宋体"/>
          <w:sz w:val="21"/>
          <w:szCs w:val="21"/>
        </w:rPr>
        <w:t>开标一览表</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六、资料审查资料</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）投标人基本情况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）企业专业技术人员情况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）投标人类似业绩经验</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七、</w:t>
      </w:r>
      <w:r>
        <w:rPr>
          <w:rFonts w:hint="eastAsia" w:ascii="宋体" w:hAnsi="宋体"/>
          <w:sz w:val="21"/>
          <w:szCs w:val="21"/>
        </w:rPr>
        <w:t>拟任项目组服务团队人员一览表</w:t>
      </w:r>
    </w:p>
    <w:p>
      <w:pPr>
        <w:pStyle w:val="16"/>
        <w:widowControl w:val="0"/>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lang w:eastAsia="zh-CN"/>
        </w:rPr>
        <w:t>八、</w:t>
      </w:r>
      <w:r>
        <w:rPr>
          <w:rFonts w:hint="eastAsia" w:ascii="宋体" w:hAnsi="宋体"/>
          <w:sz w:val="21"/>
          <w:szCs w:val="21"/>
        </w:rPr>
        <w:t>咨询服务方案</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九、其他</w:t>
      </w:r>
    </w:p>
    <w:p>
      <w:pPr>
        <w:pStyle w:val="16"/>
        <w:widowControl w:val="0"/>
        <w:spacing w:before="0" w:beforeAutospacing="0" w:after="0" w:afterAutospacing="0" w:line="360" w:lineRule="auto"/>
        <w:ind w:firstLine="420" w:firstLineChars="200"/>
        <w:rPr>
          <w:rFonts w:hint="eastAsia" w:ascii="宋体" w:hAnsi="宋体"/>
          <w:sz w:val="21"/>
          <w:szCs w:val="21"/>
        </w:rPr>
      </w:pPr>
    </w:p>
    <w:p>
      <w:pPr>
        <w:pStyle w:val="16"/>
        <w:widowControl w:val="0"/>
        <w:spacing w:before="0" w:beforeAutospacing="0" w:after="0" w:afterAutospacing="0" w:line="360" w:lineRule="auto"/>
        <w:ind w:firstLine="420" w:firstLineChars="200"/>
        <w:rPr>
          <w:rFonts w:hint="eastAsia"/>
          <w:sz w:val="21"/>
          <w:szCs w:val="21"/>
        </w:rPr>
      </w:pPr>
    </w:p>
    <w:p>
      <w:pPr>
        <w:pStyle w:val="7"/>
        <w:rPr>
          <w:rFonts w:hAnsi="宋体"/>
          <w:b/>
          <w:bCs/>
          <w:sz w:val="24"/>
        </w:rPr>
      </w:pPr>
    </w:p>
    <w:p>
      <w:pPr>
        <w:pStyle w:val="7"/>
        <w:ind w:firstLine="482" w:firstLineChars="200"/>
        <w:rPr>
          <w:rFonts w:hAnsi="宋体"/>
          <w:b/>
          <w:bCs/>
          <w:sz w:val="24"/>
        </w:rPr>
      </w:pPr>
    </w:p>
    <w:p>
      <w:pPr>
        <w:pStyle w:val="5"/>
        <w:spacing w:line="300" w:lineRule="exact"/>
        <w:jc w:val="center"/>
        <w:rPr>
          <w:rFonts w:ascii="宋体" w:hAnsi="宋体" w:eastAsia="宋体"/>
          <w:sz w:val="21"/>
          <w:szCs w:val="21"/>
        </w:rPr>
      </w:pPr>
      <w:r>
        <w:rPr>
          <w:rFonts w:ascii="宋体" w:hAnsi="宋体" w:eastAsia="宋体"/>
          <w:sz w:val="21"/>
          <w:szCs w:val="21"/>
        </w:rPr>
        <w:br w:type="page"/>
      </w:r>
      <w:bookmarkStart w:id="236" w:name="_Toc310521724"/>
      <w:bookmarkStart w:id="237" w:name="_Toc310522249"/>
      <w:bookmarkStart w:id="238" w:name="_Toc235592956"/>
      <w:bookmarkStart w:id="239" w:name="_Toc193115819"/>
    </w:p>
    <w:p>
      <w:pPr>
        <w:spacing w:line="360" w:lineRule="auto"/>
        <w:jc w:val="center"/>
        <w:rPr>
          <w:rFonts w:hint="default"/>
          <w:b/>
        </w:rPr>
      </w:pPr>
      <w:bookmarkStart w:id="240" w:name="_Toc363035071"/>
      <w:r>
        <w:rPr>
          <w:b/>
        </w:rPr>
        <w:t>一、投标函</w:t>
      </w:r>
      <w:bookmarkEnd w:id="236"/>
      <w:bookmarkEnd w:id="237"/>
      <w:bookmarkEnd w:id="238"/>
      <w:bookmarkEnd w:id="239"/>
      <w:bookmarkEnd w:id="240"/>
    </w:p>
    <w:p>
      <w:pPr>
        <w:spacing w:line="360" w:lineRule="auto"/>
        <w:rPr>
          <w:rFonts w:hint="default"/>
          <w:b/>
          <w:bCs/>
          <w:sz w:val="21"/>
          <w:szCs w:val="21"/>
        </w:rPr>
      </w:pPr>
    </w:p>
    <w:p>
      <w:pPr>
        <w:spacing w:line="360" w:lineRule="auto"/>
        <w:rPr>
          <w:rFonts w:hint="default"/>
          <w:sz w:val="21"/>
          <w:szCs w:val="21"/>
        </w:rPr>
      </w:pPr>
      <w:r>
        <w:rPr>
          <w:sz w:val="21"/>
          <w:szCs w:val="21"/>
        </w:rPr>
        <w:t>致：</w:t>
      </w:r>
    </w:p>
    <w:p>
      <w:pPr>
        <w:spacing w:line="360" w:lineRule="auto"/>
        <w:ind w:firstLine="420" w:firstLineChars="200"/>
        <w:rPr>
          <w:rFonts w:hint="default"/>
          <w:sz w:val="21"/>
          <w:szCs w:val="21"/>
        </w:rPr>
      </w:pPr>
    </w:p>
    <w:p>
      <w:pPr>
        <w:spacing w:line="360" w:lineRule="auto"/>
        <w:rPr>
          <w:rFonts w:hint="default"/>
          <w:sz w:val="21"/>
          <w:szCs w:val="21"/>
        </w:rPr>
      </w:pPr>
      <w:r>
        <w:rPr>
          <w:sz w:val="21"/>
          <w:szCs w:val="21"/>
        </w:rPr>
        <w:t xml:space="preserve">    参加贵方公开招标的有关活动，并参与此项目的投标。为此：</w:t>
      </w:r>
    </w:p>
    <w:p>
      <w:pPr>
        <w:pStyle w:val="54"/>
        <w:tabs>
          <w:tab w:val="left" w:pos="-3600"/>
          <w:tab w:val="left" w:pos="709"/>
        </w:tabs>
        <w:spacing w:line="360" w:lineRule="auto"/>
        <w:ind w:left="7" w:firstLine="413"/>
        <w:rPr>
          <w:color w:val="auto"/>
          <w:szCs w:val="21"/>
        </w:rPr>
      </w:pPr>
      <w:r>
        <w:rPr>
          <w:rFonts w:hint="eastAsia"/>
          <w:color w:val="auto"/>
          <w:szCs w:val="21"/>
        </w:rPr>
        <w:t>1.我方同意在本项目招标文件中规定的递交投标文件截止日起遵守本招标文件中的承诺。</w:t>
      </w:r>
    </w:p>
    <w:p>
      <w:pPr>
        <w:pStyle w:val="54"/>
        <w:tabs>
          <w:tab w:val="left" w:pos="-1980"/>
          <w:tab w:val="left" w:pos="709"/>
        </w:tabs>
        <w:spacing w:line="360" w:lineRule="auto"/>
        <w:ind w:left="7" w:firstLine="413"/>
        <w:rPr>
          <w:color w:val="auto"/>
          <w:szCs w:val="21"/>
        </w:rPr>
      </w:pPr>
      <w:r>
        <w:rPr>
          <w:rFonts w:hint="eastAsia"/>
          <w:color w:val="auto"/>
          <w:szCs w:val="21"/>
        </w:rPr>
        <w:t>2.我方承诺已经具备相关法律法规中规定的投标人应当具备的条件：</w:t>
      </w:r>
    </w:p>
    <w:p>
      <w:pPr>
        <w:pStyle w:val="54"/>
        <w:tabs>
          <w:tab w:val="left" w:pos="-2340"/>
          <w:tab w:val="left" w:pos="709"/>
        </w:tabs>
        <w:spacing w:line="360" w:lineRule="auto"/>
        <w:ind w:left="7" w:firstLine="413"/>
        <w:rPr>
          <w:color w:val="auto"/>
          <w:szCs w:val="21"/>
        </w:rPr>
      </w:pPr>
      <w:r>
        <w:rPr>
          <w:rFonts w:hint="eastAsia"/>
          <w:color w:val="auto"/>
          <w:szCs w:val="21"/>
        </w:rPr>
        <w:t>3.提供投标人须知规定的全部投标文件，包括投标</w:t>
      </w:r>
      <w:r>
        <w:rPr>
          <w:rFonts w:hint="eastAsia"/>
          <w:color w:val="auto"/>
          <w:szCs w:val="21"/>
          <w:u w:val="single"/>
        </w:rPr>
        <w:t>文件正本1 份，副本 3份</w:t>
      </w:r>
      <w:r>
        <w:rPr>
          <w:rFonts w:hint="eastAsia"/>
          <w:color w:val="auto"/>
          <w:szCs w:val="21"/>
        </w:rPr>
        <w:t>。</w:t>
      </w:r>
    </w:p>
    <w:p>
      <w:pPr>
        <w:pStyle w:val="54"/>
        <w:tabs>
          <w:tab w:val="left" w:pos="567"/>
          <w:tab w:val="left" w:pos="709"/>
        </w:tabs>
        <w:spacing w:line="360" w:lineRule="auto"/>
        <w:ind w:left="7" w:firstLine="413"/>
        <w:rPr>
          <w:color w:val="auto"/>
          <w:szCs w:val="21"/>
        </w:rPr>
      </w:pPr>
      <w:r>
        <w:rPr>
          <w:rFonts w:hint="eastAsia"/>
          <w:color w:val="auto"/>
          <w:szCs w:val="21"/>
        </w:rPr>
        <w:t>4.我方已详细阅读全部招标文件</w:t>
      </w:r>
      <w:r>
        <w:rPr>
          <w:color w:val="auto"/>
          <w:szCs w:val="21"/>
        </w:rPr>
        <w:t>，包括修改文件(如有的话)以及全部参考资料和</w:t>
      </w:r>
      <w:r>
        <w:rPr>
          <w:rFonts w:hint="eastAsia"/>
          <w:color w:val="auto"/>
          <w:szCs w:val="21"/>
        </w:rPr>
        <w:t>有关附件。我方将自行承担因对招标文件不明或误解而产生的相应后果。同时我方充分理解本次招投标活动所采取的程序办法及相应安排。我方在此不可撤销地放弃对相关程序性办法及相应安排提出任何异议的权利，并放弃因此而向招标人或代理机构提出任何索赔的权利。</w:t>
      </w:r>
    </w:p>
    <w:p>
      <w:pPr>
        <w:pStyle w:val="54"/>
        <w:tabs>
          <w:tab w:val="left" w:pos="448"/>
          <w:tab w:val="left" w:pos="709"/>
        </w:tabs>
        <w:spacing w:line="360" w:lineRule="auto"/>
        <w:ind w:left="7" w:firstLine="413"/>
        <w:rPr>
          <w:color w:val="auto"/>
          <w:szCs w:val="21"/>
        </w:rPr>
      </w:pPr>
      <w:r>
        <w:rPr>
          <w:rFonts w:hint="eastAsia"/>
          <w:color w:val="auto"/>
          <w:szCs w:val="21"/>
        </w:rPr>
        <w:t>5.我方愿意向贵方提供任何与本招标文件有关的数据、情况和资料。若贵方需要，我方愿意提供我方作出的一切承诺的证明材料。</w:t>
      </w:r>
    </w:p>
    <w:p>
      <w:pPr>
        <w:pStyle w:val="54"/>
        <w:tabs>
          <w:tab w:val="left" w:pos="709"/>
        </w:tabs>
        <w:spacing w:line="360" w:lineRule="auto"/>
        <w:ind w:left="7" w:firstLine="413"/>
        <w:rPr>
          <w:color w:val="auto"/>
          <w:szCs w:val="21"/>
        </w:rPr>
      </w:pPr>
      <w:r>
        <w:rPr>
          <w:rFonts w:hint="eastAsia"/>
          <w:color w:val="auto"/>
          <w:szCs w:val="21"/>
          <w:lang w:val="en-US" w:eastAsia="zh-CN"/>
        </w:rPr>
        <w:t>6</w:t>
      </w:r>
      <w:r>
        <w:rPr>
          <w:rFonts w:hint="eastAsia"/>
          <w:color w:val="auto"/>
          <w:szCs w:val="21"/>
        </w:rPr>
        <w:t>.我方已详细审核全部递交的投标文件，包括投标文件修改书（如有的话）、参考资料及有关附件，确认无误。</w:t>
      </w:r>
    </w:p>
    <w:p>
      <w:pPr>
        <w:spacing w:line="360" w:lineRule="auto"/>
        <w:ind w:firstLine="420" w:firstLineChars="200"/>
        <w:rPr>
          <w:rFonts w:hint="eastAsia"/>
          <w:sz w:val="21"/>
          <w:szCs w:val="21"/>
        </w:rPr>
      </w:pPr>
      <w:r>
        <w:rPr>
          <w:rFonts w:hint="eastAsia"/>
          <w:sz w:val="21"/>
          <w:szCs w:val="21"/>
          <w:lang w:val="en-US" w:eastAsia="zh-CN"/>
        </w:rPr>
        <w:t>7</w:t>
      </w:r>
      <w:r>
        <w:rPr>
          <w:sz w:val="21"/>
          <w:szCs w:val="21"/>
        </w:rPr>
        <w:t>.</w:t>
      </w:r>
      <w:r>
        <w:rPr>
          <w:rFonts w:hint="eastAsia"/>
          <w:sz w:val="21"/>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hint="default"/>
          <w:sz w:val="21"/>
          <w:szCs w:val="21"/>
        </w:rPr>
      </w:pPr>
      <w:r>
        <w:rPr>
          <w:rFonts w:hint="eastAsia"/>
          <w:sz w:val="21"/>
          <w:szCs w:val="21"/>
          <w:lang w:val="en-US" w:eastAsia="zh-CN"/>
        </w:rPr>
        <w:t>8</w:t>
      </w:r>
      <w:r>
        <w:rPr>
          <w:sz w:val="21"/>
          <w:szCs w:val="21"/>
        </w:rPr>
        <w:t>.与本投标有关的一切正式往来通讯请寄：</w:t>
      </w:r>
    </w:p>
    <w:p>
      <w:pPr>
        <w:spacing w:line="520" w:lineRule="exact"/>
        <w:ind w:left="584" w:leftChars="156" w:hanging="210" w:hangingChars="100"/>
        <w:rPr>
          <w:sz w:val="21"/>
          <w:szCs w:val="21"/>
        </w:rPr>
      </w:pPr>
      <w:r>
        <w:rPr>
          <w:sz w:val="21"/>
          <w:szCs w:val="21"/>
        </w:rPr>
        <w:t xml:space="preserve">地    址： </w:t>
      </w:r>
    </w:p>
    <w:p>
      <w:pPr>
        <w:spacing w:line="520" w:lineRule="exact"/>
        <w:ind w:left="584" w:leftChars="156" w:hanging="210" w:hangingChars="100"/>
        <w:rPr>
          <w:rFonts w:hint="default"/>
          <w:sz w:val="21"/>
          <w:szCs w:val="21"/>
          <w:u w:val="single"/>
        </w:rPr>
      </w:pPr>
      <w:r>
        <w:rPr>
          <w:sz w:val="21"/>
          <w:szCs w:val="21"/>
        </w:rPr>
        <w:t>邮    编：</w:t>
      </w:r>
    </w:p>
    <w:p>
      <w:pPr>
        <w:spacing w:line="520" w:lineRule="exact"/>
        <w:ind w:left="584" w:leftChars="156" w:hanging="210" w:hangingChars="100"/>
        <w:rPr>
          <w:rFonts w:hint="default"/>
          <w:sz w:val="21"/>
          <w:szCs w:val="21"/>
        </w:rPr>
      </w:pPr>
    </w:p>
    <w:p>
      <w:pPr>
        <w:spacing w:line="520" w:lineRule="exact"/>
        <w:ind w:left="584" w:leftChars="156" w:hanging="210" w:hangingChars="100"/>
        <w:rPr>
          <w:rFonts w:hint="default"/>
          <w:sz w:val="21"/>
          <w:szCs w:val="21"/>
        </w:rPr>
      </w:pPr>
      <w:r>
        <w:rPr>
          <w:sz w:val="21"/>
          <w:szCs w:val="21"/>
        </w:rPr>
        <w:t>电    话</w:t>
      </w:r>
      <w:r>
        <w:rPr>
          <w:sz w:val="21"/>
          <w:szCs w:val="21"/>
          <w:u w:val="single"/>
        </w:rPr>
        <w:t xml:space="preserve">：                          </w:t>
      </w:r>
      <w:r>
        <w:rPr>
          <w:sz w:val="21"/>
          <w:szCs w:val="21"/>
        </w:rPr>
        <w:t>传    真：</w:t>
      </w:r>
    </w:p>
    <w:p>
      <w:pPr>
        <w:spacing w:line="520" w:lineRule="exact"/>
        <w:ind w:left="584" w:leftChars="156" w:hanging="210" w:hangingChars="100"/>
        <w:rPr>
          <w:rFonts w:hint="default"/>
          <w:sz w:val="21"/>
          <w:szCs w:val="21"/>
        </w:rPr>
      </w:pPr>
    </w:p>
    <w:p>
      <w:pPr>
        <w:spacing w:line="520" w:lineRule="exact"/>
        <w:ind w:firstLine="420" w:firstLineChars="200"/>
        <w:rPr>
          <w:rFonts w:hint="default"/>
          <w:sz w:val="21"/>
          <w:szCs w:val="21"/>
          <w:u w:val="single"/>
        </w:rPr>
      </w:pPr>
      <w:r>
        <w:rPr>
          <w:sz w:val="21"/>
          <w:szCs w:val="21"/>
        </w:rPr>
        <w:t>投标人名称(公章)：</w:t>
      </w:r>
    </w:p>
    <w:p>
      <w:pPr>
        <w:spacing w:line="520" w:lineRule="exact"/>
        <w:ind w:firstLine="420" w:firstLineChars="200"/>
        <w:rPr>
          <w:rFonts w:hint="default"/>
          <w:sz w:val="21"/>
          <w:szCs w:val="21"/>
          <w:u w:val="single"/>
        </w:rPr>
      </w:pPr>
    </w:p>
    <w:p>
      <w:pPr>
        <w:spacing w:line="520" w:lineRule="exact"/>
        <w:ind w:firstLine="420" w:firstLineChars="200"/>
        <w:rPr>
          <w:rFonts w:hint="default"/>
          <w:sz w:val="21"/>
          <w:szCs w:val="21"/>
          <w:u w:val="single"/>
        </w:rPr>
      </w:pPr>
      <w:r>
        <w:rPr>
          <w:sz w:val="21"/>
          <w:szCs w:val="21"/>
        </w:rPr>
        <w:t>法定代表人或委托代理人（签字）：</w:t>
      </w:r>
    </w:p>
    <w:p>
      <w:pPr>
        <w:rPr>
          <w:rFonts w:hint="default"/>
        </w:rPr>
      </w:pPr>
      <w:bookmarkStart w:id="241" w:name="_Hlt226604013"/>
      <w:bookmarkEnd w:id="241"/>
    </w:p>
    <w:p>
      <w:pPr>
        <w:spacing w:line="520" w:lineRule="exact"/>
        <w:ind w:firstLine="420" w:firstLineChars="200"/>
        <w:rPr>
          <w:rFonts w:hint="default"/>
          <w:sz w:val="21"/>
          <w:szCs w:val="21"/>
        </w:rPr>
      </w:pPr>
      <w:r>
        <w:rPr>
          <w:sz w:val="21"/>
          <w:szCs w:val="21"/>
        </w:rPr>
        <w:t>年月日</w:t>
      </w:r>
    </w:p>
    <w:p>
      <w:pPr>
        <w:rPr>
          <w:rFonts w:hint="default"/>
        </w:rPr>
      </w:pPr>
    </w:p>
    <w:p>
      <w:pPr>
        <w:rPr>
          <w:rFonts w:hint="default"/>
        </w:rPr>
      </w:pPr>
      <w:bookmarkStart w:id="242" w:name="_Toc310521725"/>
      <w:bookmarkStart w:id="243" w:name="_Toc363035072"/>
      <w:bookmarkStart w:id="244" w:name="_Toc310522250"/>
    </w:p>
    <w:p>
      <w:pPr>
        <w:spacing w:line="360" w:lineRule="auto"/>
        <w:jc w:val="center"/>
        <w:rPr>
          <w:rFonts w:hint="default"/>
          <w:b/>
        </w:rPr>
      </w:pPr>
      <w:r>
        <w:rPr>
          <w:b/>
        </w:rPr>
        <w:br w:type="page"/>
      </w:r>
    </w:p>
    <w:p>
      <w:pPr>
        <w:pStyle w:val="75"/>
        <w:spacing w:line="240" w:lineRule="auto"/>
        <w:jc w:val="center"/>
        <w:rPr>
          <w:rFonts w:hint="eastAsia" w:ascii="宋体" w:hAnsi="宋体" w:cs="宋体"/>
          <w:b w:val="0"/>
          <w:bCs w:val="0"/>
          <w:sz w:val="30"/>
        </w:rPr>
      </w:pPr>
      <w:r>
        <w:rPr>
          <w:b/>
        </w:rPr>
        <w:t>二、</w:t>
      </w:r>
      <w:bookmarkEnd w:id="242"/>
      <w:bookmarkEnd w:id="243"/>
      <w:bookmarkEnd w:id="244"/>
      <w:r>
        <w:rPr>
          <w:rFonts w:hint="eastAsia" w:ascii="宋体" w:hAnsi="宋体" w:cs="宋体"/>
          <w:b w:val="0"/>
          <w:bCs w:val="0"/>
          <w:sz w:val="30"/>
        </w:rPr>
        <w:t>法定代表人身份证明</w:t>
      </w:r>
    </w:p>
    <w:p>
      <w:pPr>
        <w:pStyle w:val="76"/>
        <w:widowControl/>
        <w:topLinePunct/>
        <w:spacing w:line="600" w:lineRule="atLeast"/>
        <w:ind w:firstLine="420"/>
        <w:rPr>
          <w:rFonts w:hint="eastAsia" w:ascii="宋体" w:hAnsi="宋体" w:cs="宋体"/>
          <w:kern w:val="0"/>
          <w:szCs w:val="21"/>
          <w:u w:val="single"/>
        </w:rPr>
      </w:pPr>
      <w:r>
        <w:rPr>
          <w:rFonts w:hint="eastAsia" w:ascii="宋体" w:hAnsi="宋体" w:cs="宋体"/>
          <w:kern w:val="0"/>
          <w:szCs w:val="21"/>
        </w:rPr>
        <w:t>投标人名称：</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单位性质：</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成立时间：    年   月  日</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经营期限：</w:t>
      </w:r>
    </w:p>
    <w:p>
      <w:pPr>
        <w:pStyle w:val="76"/>
        <w:widowControl/>
        <w:topLinePunct/>
        <w:spacing w:line="600" w:lineRule="atLeast"/>
        <w:ind w:firstLine="420"/>
        <w:rPr>
          <w:rFonts w:hint="eastAsia" w:ascii="宋体" w:hAnsi="宋体" w:cs="宋体"/>
          <w:kern w:val="0"/>
          <w:szCs w:val="21"/>
          <w:u w:val="single"/>
        </w:rPr>
      </w:pPr>
      <w:r>
        <w:rPr>
          <w:rFonts w:hint="eastAsia" w:ascii="宋体" w:hAnsi="宋体" w:cs="宋体"/>
          <w:kern w:val="0"/>
          <w:szCs w:val="21"/>
        </w:rPr>
        <w:t>姓名：           性别：               年龄：                             职务：</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（投标人名称）的法定代表人。</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 xml:space="preserve">    特此证明。</w:t>
      </w:r>
    </w:p>
    <w:p>
      <w:pPr>
        <w:pStyle w:val="76"/>
        <w:widowControl/>
        <w:topLinePunct/>
        <w:spacing w:line="440" w:lineRule="atLeast"/>
        <w:rPr>
          <w:rFonts w:hint="eastAsia" w:ascii="宋体" w:hAnsi="宋体" w:cs="宋体"/>
          <w:kern w:val="0"/>
          <w:szCs w:val="21"/>
        </w:rPr>
      </w:pPr>
    </w:p>
    <w:p>
      <w:pPr>
        <w:pStyle w:val="76"/>
        <w:widowControl/>
        <w:topLinePunct/>
        <w:spacing w:line="460" w:lineRule="atLeast"/>
        <w:ind w:firstLine="420" w:firstLineChars="200"/>
        <w:rPr>
          <w:rFonts w:hint="eastAsia" w:ascii="宋体" w:hAnsi="宋体" w:cs="宋体"/>
          <w:kern w:val="0"/>
          <w:szCs w:val="21"/>
        </w:rPr>
      </w:pPr>
      <w:r>
        <w:rPr>
          <w:rFonts w:hint="eastAsia" w:ascii="宋体" w:hAnsi="宋体" w:cs="宋体"/>
          <w:kern w:val="0"/>
          <w:szCs w:val="21"/>
        </w:rPr>
        <w:t>附：法定代表人身份证明</w:t>
      </w:r>
    </w:p>
    <w:p>
      <w:pPr>
        <w:pStyle w:val="76"/>
        <w:widowControl/>
        <w:topLinePunct/>
        <w:spacing w:line="440" w:lineRule="atLeast"/>
        <w:ind w:firstLine="610"/>
        <w:rPr>
          <w:rFonts w:hint="eastAsia" w:ascii="宋体" w:hAnsi="宋体" w:cs="宋体"/>
          <w:kern w:val="0"/>
          <w:szCs w:val="21"/>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6"/>
              <w:snapToGrid w:val="0"/>
              <w:spacing w:line="360" w:lineRule="auto"/>
              <w:jc w:val="center"/>
              <w:rPr>
                <w:rFonts w:hint="eastAsia" w:ascii="宋体" w:hAnsi="宋体" w:cs="宋体"/>
                <w:szCs w:val="21"/>
              </w:rPr>
            </w:pPr>
            <w:r>
              <w:rPr>
                <w:rFonts w:hint="eastAsia" w:ascii="宋体" w:hAnsi="宋体" w:cs="宋体"/>
                <w:szCs w:val="21"/>
              </w:rPr>
              <w:t>法定代表人二代身份证复印件（正面）</w:t>
            </w:r>
          </w:p>
        </w:tc>
        <w:tc>
          <w:tcPr>
            <w:tcW w:w="4047" w:type="dxa"/>
            <w:noWrap w:val="0"/>
            <w:vAlign w:val="center"/>
          </w:tcPr>
          <w:p>
            <w:pPr>
              <w:pStyle w:val="76"/>
              <w:snapToGrid w:val="0"/>
              <w:spacing w:line="360" w:lineRule="auto"/>
              <w:jc w:val="center"/>
              <w:rPr>
                <w:rFonts w:hint="eastAsia" w:ascii="宋体" w:hAnsi="宋体" w:cs="宋体"/>
                <w:szCs w:val="21"/>
              </w:rPr>
            </w:pPr>
            <w:r>
              <w:rPr>
                <w:rFonts w:hint="eastAsia" w:ascii="宋体" w:hAnsi="宋体" w:cs="宋体"/>
                <w:szCs w:val="21"/>
              </w:rPr>
              <w:t>法定代表人二代身份证复印件（反面）</w:t>
            </w:r>
          </w:p>
        </w:tc>
      </w:tr>
    </w:tbl>
    <w:p>
      <w:pPr>
        <w:pStyle w:val="76"/>
        <w:widowControl/>
        <w:topLinePunct/>
        <w:spacing w:line="440" w:lineRule="atLeast"/>
        <w:ind w:firstLine="2879"/>
        <w:rPr>
          <w:rFonts w:hint="eastAsia" w:ascii="宋体" w:hAnsi="宋体" w:cs="宋体"/>
          <w:kern w:val="0"/>
          <w:szCs w:val="21"/>
        </w:rPr>
      </w:pPr>
    </w:p>
    <w:p>
      <w:pPr>
        <w:pStyle w:val="76"/>
        <w:widowControl/>
        <w:topLinePunct/>
        <w:spacing w:line="440" w:lineRule="atLeast"/>
        <w:rPr>
          <w:rFonts w:hint="eastAsia" w:ascii="宋体" w:hAnsi="宋体" w:cs="宋体"/>
          <w:kern w:val="0"/>
          <w:szCs w:val="21"/>
        </w:rPr>
      </w:pPr>
      <w:r>
        <w:rPr>
          <w:rFonts w:hint="eastAsia" w:ascii="宋体" w:hAnsi="宋体" w:cs="宋体"/>
          <w:kern w:val="0"/>
          <w:szCs w:val="21"/>
        </w:rPr>
        <w:t xml:space="preserve">              投标人：（盖单位章）</w:t>
      </w:r>
    </w:p>
    <w:p>
      <w:pPr>
        <w:pStyle w:val="76"/>
        <w:widowControl/>
        <w:topLinePunct/>
        <w:spacing w:line="440" w:lineRule="atLeast"/>
        <w:rPr>
          <w:rFonts w:hint="eastAsia" w:ascii="宋体" w:hAnsi="宋体" w:cs="宋体"/>
          <w:kern w:val="0"/>
          <w:szCs w:val="21"/>
        </w:rPr>
      </w:pPr>
    </w:p>
    <w:p>
      <w:pPr>
        <w:pStyle w:val="76"/>
        <w:widowControl/>
        <w:topLinePunct/>
        <w:spacing w:line="440" w:lineRule="atLeast"/>
        <w:ind w:firstLine="3150" w:firstLineChars="1500"/>
        <w:jc w:val="right"/>
        <w:rPr>
          <w:rFonts w:hint="eastAsia" w:ascii="宋体" w:hAnsi="宋体" w:cs="宋体"/>
          <w:kern w:val="0"/>
          <w:szCs w:val="21"/>
        </w:rPr>
      </w:pPr>
      <w:r>
        <w:rPr>
          <w:rFonts w:hint="eastAsia" w:ascii="宋体" w:hAnsi="宋体" w:cs="宋体"/>
          <w:kern w:val="0"/>
          <w:szCs w:val="21"/>
        </w:rPr>
        <w:t xml:space="preserve">     年   月   日</w:t>
      </w:r>
    </w:p>
    <w:p>
      <w:pPr>
        <w:spacing w:line="520" w:lineRule="exact"/>
        <w:ind w:firstLine="420" w:firstLineChars="200"/>
        <w:jc w:val="right"/>
        <w:rPr>
          <w:rFonts w:hint="default"/>
          <w:sz w:val="21"/>
          <w:szCs w:val="21"/>
        </w:rPr>
      </w:pPr>
    </w:p>
    <w:p>
      <w:pPr>
        <w:spacing w:line="360" w:lineRule="auto"/>
        <w:jc w:val="right"/>
        <w:rPr>
          <w:rFonts w:hint="default"/>
          <w:sz w:val="21"/>
          <w:szCs w:val="21"/>
        </w:rPr>
      </w:pPr>
    </w:p>
    <w:p>
      <w:pPr>
        <w:spacing w:line="360" w:lineRule="auto"/>
        <w:jc w:val="right"/>
        <w:rPr>
          <w:rFonts w:hint="default"/>
          <w:sz w:val="21"/>
          <w:szCs w:val="21"/>
        </w:rPr>
      </w:pPr>
    </w:p>
    <w:p>
      <w:pPr>
        <w:spacing w:line="360" w:lineRule="auto"/>
        <w:rPr>
          <w:rFonts w:hint="eastAsia" w:ascii="宋体" w:hAnsi="宋体" w:eastAsia="宋体" w:cs="Times New Roman"/>
          <w:b/>
          <w:bCs/>
          <w:color w:val="auto"/>
          <w:kern w:val="2"/>
          <w:sz w:val="21"/>
          <w:szCs w:val="21"/>
          <w:lang w:val="zh-TW" w:eastAsia="zh-TW"/>
        </w:rPr>
      </w:pPr>
      <w:r>
        <w:rPr>
          <w:rFonts w:hint="eastAsia" w:ascii="宋体" w:hAnsi="宋体" w:eastAsia="宋体" w:cs="Times New Roman"/>
          <w:b/>
          <w:bCs/>
          <w:color w:val="auto"/>
          <w:kern w:val="2"/>
          <w:sz w:val="21"/>
          <w:szCs w:val="21"/>
          <w:lang w:val="zh-TW" w:eastAsia="zh-TW"/>
        </w:rPr>
        <w:t>注：1、法定代表人的签字必须是亲笔签名，不得使用印章签名或其他电子制版签名代替亲笔签名。</w:t>
      </w:r>
    </w:p>
    <w:p>
      <w:pPr>
        <w:spacing w:line="360" w:lineRule="auto"/>
        <w:rPr>
          <w:rFonts w:hint="default"/>
          <w:sz w:val="21"/>
          <w:szCs w:val="21"/>
        </w:rPr>
      </w:pPr>
      <w:r>
        <w:rPr>
          <w:rFonts w:hint="eastAsia" w:ascii="宋体" w:hAnsi="宋体" w:eastAsia="宋体" w:cs="Times New Roman"/>
          <w:b/>
          <w:bCs/>
          <w:color w:val="auto"/>
          <w:kern w:val="2"/>
          <w:sz w:val="21"/>
          <w:szCs w:val="21"/>
          <w:lang w:val="zh-TW" w:eastAsia="zh-TW"/>
        </w:rPr>
        <w:t>2、请另准备本法定代表人身份证明原件一份，投标截止前单独提交。</w:t>
      </w:r>
    </w:p>
    <w:p>
      <w:pPr>
        <w:rPr>
          <w:rFonts w:hint="default"/>
        </w:rPr>
      </w:pPr>
      <w:r>
        <w:rPr>
          <w:sz w:val="21"/>
        </w:rPr>
        <w:br w:type="page"/>
      </w:r>
    </w:p>
    <w:p>
      <w:pPr>
        <w:pStyle w:val="77"/>
        <w:jc w:val="center"/>
        <w:outlineLvl w:val="1"/>
        <w:rPr>
          <w:rFonts w:hint="eastAsia" w:ascii="宋体" w:hAnsi="宋体" w:eastAsia="宋体" w:cs="宋体"/>
          <w:sz w:val="30"/>
          <w:szCs w:val="32"/>
          <w:lang w:val="en-US" w:eastAsia="zh-CN"/>
        </w:rPr>
      </w:pPr>
      <w:bookmarkStart w:id="245" w:name="_Toc193115823"/>
      <w:bookmarkStart w:id="246" w:name="_Toc310521726"/>
      <w:bookmarkStart w:id="247" w:name="_Toc310522251"/>
      <w:bookmarkStart w:id="248" w:name="_Toc363035073"/>
      <w:bookmarkStart w:id="249" w:name="_Toc235592960"/>
      <w:r>
        <w:rPr>
          <w:b/>
        </w:rPr>
        <w:t>三、</w:t>
      </w:r>
      <w:bookmarkEnd w:id="245"/>
      <w:bookmarkEnd w:id="246"/>
      <w:bookmarkEnd w:id="247"/>
      <w:bookmarkEnd w:id="248"/>
      <w:bookmarkEnd w:id="249"/>
      <w:r>
        <w:rPr>
          <w:rFonts w:hint="eastAsia" w:ascii="宋体" w:hAnsi="宋体" w:eastAsia="宋体" w:cs="宋体"/>
          <w:sz w:val="30"/>
          <w:szCs w:val="32"/>
          <w:lang w:val="en-US" w:eastAsia="zh-CN"/>
        </w:rPr>
        <w:t>授权委托书</w:t>
      </w:r>
    </w:p>
    <w:p>
      <w:pPr>
        <w:pStyle w:val="78"/>
        <w:widowControl/>
        <w:topLinePunct/>
        <w:spacing w:line="440" w:lineRule="exact"/>
        <w:ind w:firstLine="420" w:firstLineChars="200"/>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kern w:val="0"/>
          <w:szCs w:val="21"/>
          <w:u w:val="single"/>
        </w:rPr>
        <w:t xml:space="preserve">     </w:t>
      </w:r>
      <w:r>
        <w:rPr>
          <w:rFonts w:hint="eastAsia" w:ascii="宋体" w:hAnsi="宋体" w:cs="宋体"/>
          <w:kern w:val="0"/>
          <w:szCs w:val="21"/>
        </w:rPr>
        <w:t>（投标人名称）的法定代表人，现委托</w:t>
      </w:r>
      <w:r>
        <w:rPr>
          <w:rFonts w:hint="eastAsia" w:ascii="宋体" w:hAnsi="宋体" w:cs="宋体"/>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（招标项目及标段）</w:t>
      </w:r>
      <w:r>
        <w:rPr>
          <w:rFonts w:hint="eastAsia" w:ascii="宋体" w:hAnsi="宋体" w:cs="宋体"/>
          <w:kern w:val="0"/>
          <w:szCs w:val="21"/>
          <w:u w:val="single"/>
        </w:rPr>
        <w:t xml:space="preserve">  </w:t>
      </w:r>
      <w:r>
        <w:rPr>
          <w:rFonts w:hint="eastAsia" w:ascii="宋体" w:hAnsi="宋体" w:cs="宋体"/>
          <w:kern w:val="0"/>
          <w:szCs w:val="21"/>
        </w:rPr>
        <w:t>施工招标投标文件，其法律后果由我方承担。</w:t>
      </w:r>
    </w:p>
    <w:p>
      <w:pPr>
        <w:pStyle w:val="78"/>
        <w:widowControl/>
        <w:topLinePunct/>
        <w:spacing w:line="440" w:lineRule="exact"/>
        <w:ind w:firstLine="420" w:firstLineChars="200"/>
        <w:rPr>
          <w:rFonts w:hint="eastAsia" w:ascii="宋体" w:hAnsi="宋体" w:cs="宋体"/>
          <w:kern w:val="0"/>
          <w:szCs w:val="21"/>
          <w:u w:val="single"/>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pPr>
        <w:pStyle w:val="78"/>
        <w:widowControl/>
        <w:topLinePunct/>
        <w:spacing w:line="440" w:lineRule="exact"/>
        <w:ind w:firstLine="420" w:firstLineChars="200"/>
        <w:rPr>
          <w:rFonts w:hint="eastAsia" w:ascii="宋体" w:hAnsi="宋体" w:cs="宋体"/>
          <w:kern w:val="0"/>
          <w:szCs w:val="21"/>
        </w:rPr>
      </w:pPr>
      <w:r>
        <w:rPr>
          <w:rFonts w:hint="eastAsia" w:ascii="宋体" w:hAnsi="宋体" w:cs="宋体"/>
          <w:kern w:val="0"/>
          <w:szCs w:val="21"/>
        </w:rPr>
        <w:t>代理人无转委托权。</w:t>
      </w:r>
    </w:p>
    <w:p>
      <w:pPr>
        <w:pStyle w:val="78"/>
        <w:widowControl/>
        <w:topLinePunct/>
        <w:spacing w:line="440" w:lineRule="exact"/>
        <w:ind w:firstLine="610"/>
        <w:rPr>
          <w:rFonts w:hint="eastAsia" w:ascii="宋体" w:hAnsi="宋体" w:cs="宋体"/>
          <w:kern w:val="0"/>
          <w:szCs w:val="21"/>
        </w:rPr>
      </w:pPr>
      <w:r>
        <w:rPr>
          <w:rFonts w:hint="eastAsia" w:ascii="宋体" w:hAnsi="宋体" w:cs="宋体"/>
          <w:kern w:val="0"/>
          <w:szCs w:val="21"/>
        </w:rPr>
        <w:t>附：法定代表人及委托代理人身份证明</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法定代表人二代身份证复印件（正面）</w:t>
            </w:r>
          </w:p>
        </w:tc>
        <w:tc>
          <w:tcPr>
            <w:tcW w:w="4047"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法定代表人二代身份证复印件（反面）</w:t>
            </w:r>
          </w:p>
        </w:tc>
      </w:tr>
    </w:tbl>
    <w:p>
      <w:pPr>
        <w:pStyle w:val="78"/>
        <w:widowControl/>
        <w:topLinePunct/>
        <w:spacing w:line="440" w:lineRule="atLeast"/>
        <w:ind w:firstLine="610"/>
        <w:rPr>
          <w:rFonts w:hint="eastAsia" w:ascii="宋体" w:hAnsi="宋体" w:cs="宋体"/>
          <w:kern w:val="0"/>
          <w:szCs w:val="21"/>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委托代理人二代身份证复印件（正面）</w:t>
            </w:r>
          </w:p>
        </w:tc>
        <w:tc>
          <w:tcPr>
            <w:tcW w:w="4047"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委托代理人二代身份证复印件（反面）</w:t>
            </w:r>
          </w:p>
        </w:tc>
      </w:tr>
    </w:tbl>
    <w:p>
      <w:pPr>
        <w:pStyle w:val="78"/>
        <w:widowControl/>
        <w:topLinePunct/>
        <w:spacing w:line="440" w:lineRule="atLeast"/>
        <w:ind w:firstLine="2879"/>
        <w:rPr>
          <w:rFonts w:hint="eastAsia" w:ascii="宋体" w:hAnsi="宋体" w:cs="宋体"/>
          <w:kern w:val="0"/>
          <w:szCs w:val="21"/>
        </w:rPr>
      </w:pP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投标人：（盖单位章）</w:t>
      </w: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法定代表人：（签字）</w:t>
      </w: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委托代理人：（签字）</w:t>
      </w:r>
    </w:p>
    <w:p>
      <w:pPr>
        <w:spacing w:line="360" w:lineRule="auto"/>
        <w:ind w:firstLine="480" w:firstLineChars="200"/>
        <w:rPr>
          <w:rFonts w:hint="default"/>
        </w:rPr>
      </w:pPr>
      <w:r>
        <w:rPr>
          <w:rFonts w:hint="eastAsia" w:ascii="宋体" w:hAnsi="宋体" w:cs="宋体"/>
          <w:kern w:val="0"/>
          <w:szCs w:val="21"/>
        </w:rPr>
        <w:t>年  月  日</w:t>
      </w:r>
    </w:p>
    <w:p>
      <w:pPr>
        <w:spacing w:line="360" w:lineRule="auto"/>
        <w:ind w:firstLine="422" w:firstLineChars="200"/>
        <w:rPr>
          <w:rFonts w:hint="default"/>
          <w:b/>
          <w:bCs/>
          <w:sz w:val="21"/>
          <w:szCs w:val="21"/>
        </w:rPr>
      </w:pPr>
    </w:p>
    <w:p>
      <w:pPr>
        <w:spacing w:line="360" w:lineRule="auto"/>
        <w:ind w:firstLine="422" w:firstLineChars="200"/>
        <w:rPr>
          <w:rFonts w:hint="default"/>
          <w:b/>
          <w:bCs/>
          <w:sz w:val="21"/>
          <w:szCs w:val="21"/>
        </w:rPr>
      </w:pPr>
    </w:p>
    <w:p>
      <w:pPr>
        <w:spacing w:line="360" w:lineRule="auto"/>
        <w:ind w:firstLine="442" w:firstLineChars="200"/>
        <w:rPr>
          <w:rFonts w:hint="eastAsia" w:cs="宋体"/>
          <w:b/>
          <w:bCs/>
          <w:sz w:val="22"/>
          <w:lang w:val="zh-TW" w:eastAsia="zh-TW"/>
        </w:rPr>
      </w:pPr>
      <w:r>
        <w:rPr>
          <w:rFonts w:hint="eastAsia" w:cs="宋体"/>
          <w:b/>
          <w:bCs/>
          <w:sz w:val="22"/>
          <w:lang w:val="zh-TW" w:eastAsia="zh-TW"/>
        </w:rPr>
        <w:t xml:space="preserve">注：1、法定代表人和委托代理人必须在授权委托书上亲笔签名，不得使用印章签名或其他电子制版签名代替亲笔签名；  </w:t>
      </w:r>
    </w:p>
    <w:p>
      <w:pPr>
        <w:spacing w:line="360" w:lineRule="auto"/>
        <w:ind w:firstLine="442" w:firstLineChars="200"/>
        <w:rPr>
          <w:rFonts w:hint="eastAsia" w:cs="宋体"/>
          <w:b/>
          <w:bCs/>
          <w:sz w:val="22"/>
          <w:lang w:val="zh-TW" w:eastAsia="zh-TW"/>
        </w:rPr>
      </w:pPr>
      <w:r>
        <w:rPr>
          <w:rFonts w:hint="eastAsia" w:cs="宋体"/>
          <w:b/>
          <w:bCs/>
          <w:sz w:val="22"/>
          <w:lang w:val="zh-TW" w:eastAsia="zh-TW"/>
        </w:rPr>
        <w:t xml:space="preserve">    2、委托代理人须同时携带法定代表人身份证明和授权委托书参加开标会议（未附法定代表人身份证明的为无效的授权委托书）。</w:t>
      </w:r>
    </w:p>
    <w:p>
      <w:pPr>
        <w:spacing w:line="360" w:lineRule="auto"/>
        <w:ind w:firstLine="442" w:firstLineChars="200"/>
        <w:rPr>
          <w:rFonts w:hint="default"/>
          <w:sz w:val="21"/>
          <w:szCs w:val="21"/>
        </w:rPr>
      </w:pPr>
      <w:r>
        <w:rPr>
          <w:rFonts w:hint="eastAsia" w:cs="宋体"/>
          <w:b/>
          <w:bCs/>
          <w:sz w:val="22"/>
          <w:lang w:val="zh-TW" w:eastAsia="zh-TW"/>
        </w:rPr>
        <w:t>3、请另准备本授权委托书原件一份，投标截止前单独提交。</w:t>
      </w:r>
    </w:p>
    <w:p>
      <w:pPr>
        <w:widowControl/>
        <w:jc w:val="center"/>
        <w:rPr>
          <w:rFonts w:hint="default"/>
          <w:b/>
        </w:rPr>
      </w:pPr>
      <w:bookmarkStart w:id="250" w:name="_Toc310521727"/>
      <w:bookmarkStart w:id="251" w:name="_Toc310522252"/>
      <w:bookmarkStart w:id="252" w:name="_Toc363035074"/>
      <w:r>
        <w:rPr>
          <w:rFonts w:hint="default"/>
          <w:b/>
          <w:sz w:val="44"/>
          <w:szCs w:val="44"/>
        </w:rPr>
        <w:br w:type="page"/>
      </w:r>
      <w:r>
        <w:rPr>
          <w:b/>
        </w:rPr>
        <w:t>四、投标承诺</w:t>
      </w:r>
      <w:bookmarkEnd w:id="250"/>
      <w:bookmarkEnd w:id="251"/>
      <w:r>
        <w:rPr>
          <w:b/>
        </w:rPr>
        <w:t>书</w:t>
      </w:r>
      <w:bookmarkEnd w:id="252"/>
    </w:p>
    <w:p>
      <w:pPr>
        <w:spacing w:line="360" w:lineRule="auto"/>
        <w:rPr>
          <w:rFonts w:hint="default"/>
          <w:sz w:val="21"/>
          <w:szCs w:val="21"/>
        </w:rPr>
      </w:pPr>
    </w:p>
    <w:p>
      <w:pPr>
        <w:spacing w:line="360" w:lineRule="auto"/>
        <w:rPr>
          <w:rFonts w:hint="default"/>
          <w:sz w:val="21"/>
          <w:szCs w:val="21"/>
        </w:rPr>
      </w:pPr>
      <w:r>
        <w:rPr>
          <w:sz w:val="21"/>
          <w:szCs w:val="21"/>
        </w:rPr>
        <w:t>（招标人）：</w:t>
      </w:r>
    </w:p>
    <w:p>
      <w:pPr>
        <w:spacing w:line="360" w:lineRule="auto"/>
        <w:ind w:firstLine="570"/>
        <w:rPr>
          <w:rFonts w:hint="default"/>
          <w:sz w:val="21"/>
          <w:szCs w:val="21"/>
        </w:rPr>
      </w:pPr>
      <w:r>
        <w:rPr>
          <w:sz w:val="21"/>
          <w:szCs w:val="21"/>
        </w:rPr>
        <w:t>为了充分体现公平竞争、诚信投标行为，我单位对参与项目的投标作出如下承诺：</w:t>
      </w:r>
    </w:p>
    <w:p>
      <w:pPr>
        <w:spacing w:line="360" w:lineRule="auto"/>
        <w:ind w:firstLine="570"/>
        <w:rPr>
          <w:rFonts w:hint="default"/>
          <w:sz w:val="21"/>
          <w:szCs w:val="21"/>
        </w:rPr>
      </w:pPr>
      <w:r>
        <w:rPr>
          <w:sz w:val="21"/>
          <w:szCs w:val="21"/>
        </w:rPr>
        <w:t>1、严格遵守国家【招标投标法】及相关法律、法规，没有围标、串标、资质挂靠等违法、违规行为，投标文件所投入的管理、技术人员均为我公司正式在职人员；</w:t>
      </w:r>
    </w:p>
    <w:p>
      <w:pPr>
        <w:spacing w:line="360" w:lineRule="auto"/>
        <w:ind w:firstLine="570"/>
        <w:rPr>
          <w:rFonts w:hint="default"/>
          <w:sz w:val="21"/>
          <w:szCs w:val="21"/>
        </w:rPr>
      </w:pPr>
      <w:r>
        <w:rPr>
          <w:sz w:val="21"/>
          <w:szCs w:val="21"/>
        </w:rPr>
        <w:t>2、提供的资质、业绩等证明材料真实、合法、有效；</w:t>
      </w:r>
    </w:p>
    <w:p>
      <w:pPr>
        <w:spacing w:line="360" w:lineRule="auto"/>
        <w:ind w:firstLine="570"/>
        <w:rPr>
          <w:rFonts w:hint="default"/>
          <w:sz w:val="21"/>
          <w:szCs w:val="21"/>
        </w:rPr>
      </w:pPr>
      <w:r>
        <w:rPr>
          <w:sz w:val="21"/>
          <w:szCs w:val="21"/>
        </w:rPr>
        <w:t>3、不参与不正当竞争，不向招标人、招标代理机构、交易中心、评标专家以及行业监督部门行贿以谋取不正当利益；</w:t>
      </w:r>
    </w:p>
    <w:p>
      <w:pPr>
        <w:spacing w:line="360" w:lineRule="auto"/>
        <w:ind w:firstLine="570"/>
        <w:rPr>
          <w:rFonts w:hint="default"/>
          <w:sz w:val="21"/>
          <w:szCs w:val="21"/>
        </w:rPr>
      </w:pPr>
      <w:r>
        <w:rPr>
          <w:sz w:val="21"/>
          <w:szCs w:val="21"/>
        </w:rPr>
        <w:t>4、严格按照招、投标文件约定签订合同，不将中标项目违法分包或转包；</w:t>
      </w:r>
    </w:p>
    <w:p>
      <w:pPr>
        <w:spacing w:line="360" w:lineRule="auto"/>
        <w:ind w:firstLine="570"/>
        <w:rPr>
          <w:rFonts w:hint="default"/>
          <w:sz w:val="21"/>
          <w:szCs w:val="21"/>
        </w:rPr>
      </w:pPr>
      <w:r>
        <w:rPr>
          <w:sz w:val="21"/>
          <w:szCs w:val="21"/>
        </w:rPr>
        <w:t>5、保证项目</w:t>
      </w:r>
      <w:r>
        <w:rPr>
          <w:rFonts w:hint="eastAsia"/>
          <w:sz w:val="21"/>
          <w:szCs w:val="21"/>
          <w:lang w:eastAsia="zh-CN"/>
        </w:rPr>
        <w:t>专业技术</w:t>
      </w:r>
      <w:r>
        <w:rPr>
          <w:sz w:val="21"/>
          <w:szCs w:val="21"/>
        </w:rPr>
        <w:t>人员能够按期到位，特殊情况需要变更的，严格按程序办理；</w:t>
      </w:r>
    </w:p>
    <w:p>
      <w:pPr>
        <w:spacing w:line="360" w:lineRule="auto"/>
        <w:ind w:firstLine="570"/>
        <w:rPr>
          <w:rFonts w:hint="default"/>
          <w:sz w:val="21"/>
          <w:szCs w:val="21"/>
        </w:rPr>
      </w:pPr>
      <w:r>
        <w:rPr>
          <w:sz w:val="21"/>
          <w:szCs w:val="21"/>
        </w:rPr>
        <w:t>6、主动接受行业监督部门、业主及社会各界的监督，如有违反，接受相应处罚，直至被追究法律责任。</w:t>
      </w:r>
    </w:p>
    <w:p>
      <w:pPr>
        <w:spacing w:line="360" w:lineRule="auto"/>
        <w:ind w:firstLine="570"/>
        <w:rPr>
          <w:rFonts w:hint="default"/>
          <w:sz w:val="21"/>
          <w:szCs w:val="21"/>
        </w:rPr>
      </w:pPr>
      <w:r>
        <w:rPr>
          <w:sz w:val="21"/>
          <w:szCs w:val="21"/>
        </w:rPr>
        <w:t>7、</w:t>
      </w:r>
      <w:r>
        <w:rPr>
          <w:rFonts w:cs="宋体"/>
          <w:sz w:val="21"/>
          <w:szCs w:val="21"/>
        </w:rPr>
        <w:t>单位负责人为同一人或者存在控股、管理关系的不同单位，不得参加同一标段投标或者未划分标段的同一招标项目投标；被责令停业的；被暂停或取消投标资格的；财产被接管或冻结的；在最近三年内有骗取中标或严重违约的。违反以上规定的，相关投标均无效。</w:t>
      </w:r>
    </w:p>
    <w:p>
      <w:pPr>
        <w:spacing w:line="360" w:lineRule="auto"/>
        <w:ind w:firstLine="570"/>
        <w:rPr>
          <w:rFonts w:hint="default" w:cs="宋体"/>
          <w:sz w:val="21"/>
          <w:szCs w:val="21"/>
        </w:rPr>
      </w:pPr>
      <w:r>
        <w:rPr>
          <w:sz w:val="21"/>
          <w:szCs w:val="21"/>
        </w:rPr>
        <w:t>8、</w:t>
      </w:r>
      <w:r>
        <w:rPr>
          <w:rFonts w:cs="宋体"/>
          <w:sz w:val="21"/>
          <w:szCs w:val="21"/>
        </w:rPr>
        <w:t>本项目投标截止时间前，投标人未处于被市级及以上建设行政主管部门禁止参与投标期限内。</w:t>
      </w:r>
    </w:p>
    <w:p>
      <w:pPr>
        <w:spacing w:line="360" w:lineRule="auto"/>
        <w:ind w:firstLine="570"/>
        <w:rPr>
          <w:rFonts w:hint="default" w:cs="宋体"/>
          <w:sz w:val="21"/>
          <w:szCs w:val="21"/>
        </w:rPr>
      </w:pPr>
    </w:p>
    <w:p>
      <w:pPr>
        <w:spacing w:line="360" w:lineRule="auto"/>
        <w:ind w:firstLine="570"/>
        <w:rPr>
          <w:rFonts w:hint="default"/>
          <w:sz w:val="21"/>
          <w:szCs w:val="21"/>
        </w:rPr>
      </w:pPr>
      <w:r>
        <w:rPr>
          <w:sz w:val="21"/>
          <w:szCs w:val="21"/>
        </w:rPr>
        <w:t>承诺单位（盖章）             法定代表人（亲笔签字）</w:t>
      </w:r>
    </w:p>
    <w:p>
      <w:pPr>
        <w:spacing w:line="360" w:lineRule="auto"/>
        <w:ind w:firstLine="570"/>
        <w:rPr>
          <w:rFonts w:hint="default"/>
          <w:sz w:val="21"/>
          <w:szCs w:val="21"/>
        </w:rPr>
      </w:pPr>
    </w:p>
    <w:p>
      <w:pPr>
        <w:spacing w:line="360" w:lineRule="auto"/>
        <w:ind w:firstLine="570"/>
        <w:rPr>
          <w:rFonts w:hint="default"/>
          <w:sz w:val="21"/>
          <w:szCs w:val="21"/>
        </w:rPr>
      </w:pPr>
    </w:p>
    <w:p>
      <w:pPr>
        <w:spacing w:line="360" w:lineRule="auto"/>
        <w:ind w:firstLine="570"/>
        <w:rPr>
          <w:rFonts w:hint="default"/>
          <w:sz w:val="21"/>
          <w:szCs w:val="21"/>
        </w:rPr>
      </w:pPr>
      <w:r>
        <w:rPr>
          <w:sz w:val="21"/>
          <w:szCs w:val="21"/>
        </w:rPr>
        <w:t xml:space="preserve">联系电话（手机号码）：                              </w:t>
      </w:r>
    </w:p>
    <w:p>
      <w:pPr>
        <w:spacing w:line="360" w:lineRule="auto"/>
        <w:ind w:firstLine="3679" w:firstLineChars="1752"/>
        <w:rPr>
          <w:rFonts w:hint="default"/>
          <w:sz w:val="21"/>
          <w:szCs w:val="21"/>
        </w:rPr>
      </w:pPr>
      <w:r>
        <w:rPr>
          <w:sz w:val="21"/>
          <w:szCs w:val="21"/>
        </w:rPr>
        <w:t>年   月   日</w:t>
      </w:r>
    </w:p>
    <w:p>
      <w:pPr>
        <w:ind w:firstLine="3679" w:firstLineChars="1752"/>
        <w:rPr>
          <w:rFonts w:hint="default"/>
          <w:sz w:val="21"/>
          <w:szCs w:val="21"/>
        </w:rPr>
      </w:pPr>
    </w:p>
    <w:p>
      <w:pPr>
        <w:spacing w:line="440" w:lineRule="exact"/>
        <w:rPr>
          <w:rFonts w:hint="default" w:cs="宋体"/>
          <w:sz w:val="21"/>
          <w:szCs w:val="21"/>
        </w:rPr>
      </w:pPr>
      <w:r>
        <w:rPr>
          <w:rFonts w:cs="宋体"/>
          <w:b/>
          <w:bCs/>
          <w:sz w:val="21"/>
          <w:szCs w:val="21"/>
        </w:rPr>
        <w:t>注：此承诺书由投标单位法定代表人亲笔签署，并加盖单位公章；开标时，由投标人的法定代表人或授权委托代理人另外单独携带一份原件现场递交，否则评标委员会作不合格投标人处理。</w:t>
      </w:r>
    </w:p>
    <w:p>
      <w:pPr>
        <w:spacing w:line="360" w:lineRule="auto"/>
        <w:ind w:firstLine="420" w:firstLineChars="200"/>
        <w:rPr>
          <w:rFonts w:hint="default"/>
          <w:sz w:val="21"/>
          <w:szCs w:val="21"/>
        </w:rPr>
        <w:sectPr>
          <w:footerReference r:id="rId12" w:type="first"/>
          <w:headerReference r:id="rId10" w:type="default"/>
          <w:footerReference r:id="rId11" w:type="default"/>
          <w:pgSz w:w="11906" w:h="16838"/>
          <w:pgMar w:top="1417" w:right="1361" w:bottom="1247" w:left="1361" w:header="907" w:footer="737" w:gutter="0"/>
          <w:pgNumType w:fmt="decimal"/>
          <w:cols w:space="0" w:num="1"/>
          <w:titlePg/>
          <w:rtlGutter w:val="0"/>
          <w:docGrid w:linePitch="326" w:charSpace="0"/>
        </w:sectPr>
      </w:pPr>
    </w:p>
    <w:p>
      <w:pPr>
        <w:spacing w:line="360" w:lineRule="auto"/>
        <w:jc w:val="center"/>
        <w:rPr>
          <w:rFonts w:hint="default"/>
          <w:b/>
        </w:rPr>
      </w:pPr>
      <w:bookmarkStart w:id="253" w:name="_Toc235592961"/>
      <w:bookmarkStart w:id="254" w:name="_Toc238546343"/>
      <w:bookmarkStart w:id="255" w:name="_Toc310522253"/>
      <w:bookmarkStart w:id="256" w:name="_Toc310521728"/>
      <w:bookmarkStart w:id="257" w:name="_Toc363035075"/>
      <w:r>
        <w:rPr>
          <w:b/>
        </w:rPr>
        <w:t>五、</w:t>
      </w:r>
      <w:bookmarkEnd w:id="253"/>
      <w:bookmarkEnd w:id="254"/>
      <w:r>
        <w:rPr>
          <w:b/>
        </w:rPr>
        <w:t>开标一览表（格式）</w:t>
      </w:r>
      <w:bookmarkEnd w:id="255"/>
      <w:bookmarkEnd w:id="256"/>
      <w:bookmarkEnd w:id="257"/>
    </w:p>
    <w:p>
      <w:pPr>
        <w:spacing w:line="560" w:lineRule="atLeast"/>
        <w:ind w:firstLine="420" w:firstLineChars="200"/>
        <w:rPr>
          <w:rFonts w:hint="default"/>
          <w:sz w:val="21"/>
          <w:szCs w:val="21"/>
        </w:rPr>
      </w:pPr>
      <w:r>
        <w:rPr>
          <w:sz w:val="21"/>
          <w:szCs w:val="21"/>
        </w:rPr>
        <w:t>投标人单位：</w:t>
      </w:r>
    </w:p>
    <w:p>
      <w:pPr>
        <w:spacing w:line="560" w:lineRule="atLeast"/>
        <w:rPr>
          <w:rFonts w:hint="default"/>
          <w:sz w:val="21"/>
          <w:szCs w:val="21"/>
        </w:rPr>
      </w:pPr>
    </w:p>
    <w:p>
      <w:pPr>
        <w:spacing w:line="560" w:lineRule="atLeast"/>
        <w:ind w:firstLine="420" w:firstLineChars="200"/>
        <w:rPr>
          <w:rFonts w:hint="default"/>
          <w:sz w:val="21"/>
          <w:szCs w:val="21"/>
        </w:rPr>
      </w:pPr>
    </w:p>
    <w:tbl>
      <w:tblPr>
        <w:tblStyle w:val="18"/>
        <w:tblW w:w="95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647"/>
        <w:gridCol w:w="1705"/>
        <w:gridCol w:w="2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44" w:type="dxa"/>
            <w:vAlign w:val="center"/>
          </w:tcPr>
          <w:p>
            <w:pPr>
              <w:jc w:val="center"/>
              <w:rPr>
                <w:rFonts w:hint="default"/>
                <w:sz w:val="21"/>
                <w:szCs w:val="21"/>
              </w:rPr>
            </w:pPr>
            <w:r>
              <w:rPr>
                <w:sz w:val="21"/>
                <w:szCs w:val="21"/>
              </w:rPr>
              <w:t>项目名称</w:t>
            </w:r>
          </w:p>
        </w:tc>
        <w:tc>
          <w:tcPr>
            <w:tcW w:w="6069" w:type="dxa"/>
            <w:gridSpan w:val="3"/>
            <w:vAlign w:val="center"/>
          </w:tcPr>
          <w:p>
            <w:pPr>
              <w:jc w:val="center"/>
              <w:rPr>
                <w:rFonts w:hint="default"/>
                <w:sz w:val="21"/>
                <w:szCs w:val="21"/>
              </w:rPr>
            </w:pPr>
            <w:r>
              <w:rPr>
                <w:sz w:val="21"/>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444" w:type="dxa"/>
            <w:vMerge w:val="restart"/>
            <w:vAlign w:val="center"/>
          </w:tcPr>
          <w:p>
            <w:pPr>
              <w:jc w:val="center"/>
              <w:rPr>
                <w:rFonts w:hint="default"/>
                <w:sz w:val="21"/>
                <w:szCs w:val="21"/>
              </w:rPr>
            </w:pPr>
            <w:r>
              <w:rPr>
                <w:rFonts w:hint="eastAsia"/>
                <w:sz w:val="21"/>
                <w:szCs w:val="21"/>
                <w:lang w:eastAsia="zh-CN"/>
              </w:rPr>
              <w:t>浏阳市人民医院小项目预算定点单位入围招标</w:t>
            </w:r>
          </w:p>
        </w:tc>
        <w:tc>
          <w:tcPr>
            <w:tcW w:w="1647" w:type="dxa"/>
            <w:vAlign w:val="center"/>
          </w:tcPr>
          <w:p>
            <w:pPr>
              <w:jc w:val="center"/>
              <w:rPr>
                <w:rFonts w:hint="default"/>
                <w:sz w:val="21"/>
                <w:szCs w:val="21"/>
              </w:rPr>
            </w:pPr>
            <w:r>
              <w:rPr>
                <w:sz w:val="21"/>
                <w:szCs w:val="21"/>
              </w:rPr>
              <w:t>姓名</w:t>
            </w:r>
          </w:p>
        </w:tc>
        <w:tc>
          <w:tcPr>
            <w:tcW w:w="1705" w:type="dxa"/>
            <w:vAlign w:val="center"/>
          </w:tcPr>
          <w:p>
            <w:pPr>
              <w:jc w:val="center"/>
              <w:rPr>
                <w:rFonts w:hint="default"/>
                <w:sz w:val="21"/>
                <w:szCs w:val="21"/>
              </w:rPr>
            </w:pPr>
            <w:r>
              <w:rPr>
                <w:sz w:val="21"/>
                <w:szCs w:val="21"/>
              </w:rPr>
              <w:t>职称</w:t>
            </w:r>
          </w:p>
        </w:tc>
        <w:tc>
          <w:tcPr>
            <w:tcW w:w="2717" w:type="dxa"/>
            <w:vAlign w:val="center"/>
          </w:tcPr>
          <w:p>
            <w:pPr>
              <w:jc w:val="center"/>
              <w:rPr>
                <w:rFonts w:hint="default"/>
                <w:sz w:val="21"/>
                <w:szCs w:val="21"/>
              </w:rPr>
            </w:pPr>
            <w:r>
              <w:rPr>
                <w:sz w:val="21"/>
                <w:szCs w:val="21"/>
              </w:rPr>
              <w:t>造价工程师</w:t>
            </w:r>
          </w:p>
          <w:p>
            <w:pPr>
              <w:jc w:val="center"/>
              <w:rPr>
                <w:rFonts w:hint="default"/>
                <w:sz w:val="21"/>
                <w:szCs w:val="21"/>
              </w:rPr>
            </w:pPr>
            <w:r>
              <w:rPr>
                <w:sz w:val="21"/>
                <w:szCs w:val="21"/>
              </w:rPr>
              <w:t>注册证书号码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44" w:type="dxa"/>
            <w:vMerge w:val="continue"/>
            <w:vAlign w:val="center"/>
          </w:tcPr>
          <w:p>
            <w:pPr>
              <w:jc w:val="center"/>
              <w:rPr>
                <w:rFonts w:hint="default"/>
                <w:sz w:val="21"/>
                <w:szCs w:val="21"/>
              </w:rPr>
            </w:pPr>
          </w:p>
        </w:tc>
        <w:tc>
          <w:tcPr>
            <w:tcW w:w="1647" w:type="dxa"/>
            <w:vAlign w:val="center"/>
          </w:tcPr>
          <w:p>
            <w:pPr>
              <w:jc w:val="center"/>
              <w:rPr>
                <w:rFonts w:hint="default"/>
                <w:sz w:val="21"/>
                <w:szCs w:val="21"/>
              </w:rPr>
            </w:pPr>
          </w:p>
        </w:tc>
        <w:tc>
          <w:tcPr>
            <w:tcW w:w="1705" w:type="dxa"/>
            <w:vAlign w:val="center"/>
          </w:tcPr>
          <w:p>
            <w:pPr>
              <w:jc w:val="center"/>
              <w:rPr>
                <w:rFonts w:hint="default"/>
                <w:sz w:val="21"/>
                <w:szCs w:val="21"/>
              </w:rPr>
            </w:pPr>
          </w:p>
        </w:tc>
        <w:tc>
          <w:tcPr>
            <w:tcW w:w="2717" w:type="dxa"/>
            <w:vAlign w:val="center"/>
          </w:tcPr>
          <w:p>
            <w:pPr>
              <w:jc w:val="center"/>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444" w:type="dxa"/>
            <w:vAlign w:val="center"/>
          </w:tcPr>
          <w:p>
            <w:pPr>
              <w:jc w:val="center"/>
              <w:rPr>
                <w:rFonts w:hint="default"/>
                <w:sz w:val="21"/>
                <w:szCs w:val="21"/>
              </w:rPr>
            </w:pPr>
            <w:r>
              <w:rPr>
                <w:sz w:val="21"/>
                <w:szCs w:val="21"/>
              </w:rPr>
              <w:t>投标报价</w:t>
            </w:r>
          </w:p>
          <w:p>
            <w:pPr>
              <w:jc w:val="center"/>
              <w:rPr>
                <w:rFonts w:hint="default" w:ascii="宋体" w:hAnsi="宋体" w:eastAsia="宋体" w:cs="Times New Roman"/>
                <w:kern w:val="2"/>
                <w:sz w:val="21"/>
                <w:szCs w:val="21"/>
                <w:lang w:val="en-US" w:eastAsia="zh-CN" w:bidi="ar-SA"/>
              </w:rPr>
            </w:pPr>
            <w:r>
              <w:rPr>
                <w:sz w:val="21"/>
                <w:szCs w:val="21"/>
              </w:rPr>
              <w:t>（下浮率）</w:t>
            </w:r>
          </w:p>
        </w:tc>
        <w:tc>
          <w:tcPr>
            <w:tcW w:w="6069" w:type="dxa"/>
            <w:gridSpan w:val="3"/>
            <w:vAlign w:val="center"/>
          </w:tcPr>
          <w:p>
            <w:pPr>
              <w:jc w:val="left"/>
              <w:rPr>
                <w:rFonts w:hint="default" w:ascii="宋体" w:hAnsi="宋体" w:eastAsia="宋体" w:cs="Times New Roman"/>
                <w:kern w:val="2"/>
                <w:sz w:val="21"/>
                <w:szCs w:val="21"/>
                <w:lang w:val="en-US" w:eastAsia="zh-CN" w:bidi="ar-SA"/>
              </w:rPr>
            </w:pPr>
            <w:r>
              <w:rPr>
                <w:sz w:val="21"/>
                <w:szCs w:val="21"/>
              </w:rPr>
              <w:t xml:space="preserve">    </w:t>
            </w:r>
            <w:r>
              <w:rPr>
                <w:rFonts w:hint="eastAsia"/>
                <w:sz w:val="21"/>
                <w:szCs w:val="21"/>
                <w:lang w:val="en-US" w:eastAsia="zh-CN"/>
              </w:rPr>
              <w:t xml:space="preserve">                      </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sz w:val="21"/>
                <w:szCs w:val="21"/>
              </w:rPr>
              <w:t>质量承诺</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default"/>
              </w:rPr>
              <w:t>响应招标文件要求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sz w:val="21"/>
                <w:szCs w:val="21"/>
              </w:rPr>
              <w:t>服务周期承诺</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default"/>
              </w:rPr>
              <w:t>响应招标文件要求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投标有效期</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kern w:val="0"/>
                <w:sz w:val="21"/>
                <w:szCs w:val="21"/>
              </w:rPr>
              <w:t>投标截止日起90日历天内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是否接受招标文件中的合同条款</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eastAsia" w:cs="Times New Roman"/>
                <w:kern w:val="2"/>
                <w:sz w:val="24"/>
                <w:szCs w:val="22"/>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sz w:val="21"/>
                <w:szCs w:val="21"/>
              </w:rPr>
            </w:pPr>
            <w:r>
              <w:rPr>
                <w:rFonts w:hint="eastAsia" w:ascii="宋体" w:hAnsi="宋体" w:cs="宋体"/>
                <w:kern w:val="0"/>
                <w:sz w:val="20"/>
                <w:szCs w:val="20"/>
              </w:rPr>
              <w:t>是否响应招标文件中的招标范围</w:t>
            </w:r>
          </w:p>
        </w:tc>
        <w:tc>
          <w:tcPr>
            <w:tcW w:w="6069" w:type="dxa"/>
            <w:gridSpan w:val="3"/>
            <w:vAlign w:val="center"/>
          </w:tcPr>
          <w:p>
            <w:pPr>
              <w:jc w:val="center"/>
              <w:rPr>
                <w:rFonts w:hint="eastAsia" w:eastAsia="宋体"/>
                <w:sz w:val="21"/>
                <w:szCs w:val="21"/>
                <w:lang w:eastAsia="zh-CN"/>
              </w:rPr>
            </w:pPr>
            <w:r>
              <w:rPr>
                <w:rFonts w:hint="eastAsia"/>
                <w:sz w:val="21"/>
                <w:szCs w:val="21"/>
                <w:lang w:eastAsia="zh-CN"/>
              </w:rPr>
              <w:t>是</w:t>
            </w:r>
          </w:p>
        </w:tc>
      </w:tr>
    </w:tbl>
    <w:p>
      <w:pPr>
        <w:autoSpaceDE w:val="0"/>
        <w:autoSpaceDN w:val="0"/>
        <w:adjustRightInd w:val="0"/>
        <w:jc w:val="left"/>
        <w:rPr>
          <w:rFonts w:hint="default"/>
          <w:kern w:val="0"/>
          <w:sz w:val="21"/>
          <w:szCs w:val="21"/>
        </w:rPr>
      </w:pPr>
    </w:p>
    <w:p>
      <w:pPr>
        <w:spacing w:line="560" w:lineRule="atLeast"/>
        <w:rPr>
          <w:rFonts w:hint="default"/>
          <w:sz w:val="21"/>
          <w:szCs w:val="21"/>
        </w:rPr>
      </w:pPr>
      <w:r>
        <w:rPr>
          <w:sz w:val="21"/>
          <w:szCs w:val="21"/>
        </w:rPr>
        <w:t>投标人：(盖章)</w:t>
      </w:r>
    </w:p>
    <w:p>
      <w:pPr>
        <w:spacing w:line="560" w:lineRule="atLeast"/>
        <w:rPr>
          <w:rFonts w:hint="default"/>
          <w:sz w:val="21"/>
          <w:szCs w:val="21"/>
        </w:rPr>
      </w:pPr>
      <w:r>
        <w:rPr>
          <w:sz w:val="21"/>
          <w:szCs w:val="21"/>
        </w:rPr>
        <w:t>法定代表人或委托代理人：(签字或盖章)</w:t>
      </w:r>
    </w:p>
    <w:p>
      <w:pPr>
        <w:spacing w:line="560" w:lineRule="atLeast"/>
        <w:rPr>
          <w:rFonts w:hint="default"/>
          <w:sz w:val="21"/>
          <w:szCs w:val="21"/>
        </w:rPr>
      </w:pPr>
    </w:p>
    <w:p>
      <w:pPr>
        <w:spacing w:line="560" w:lineRule="atLeast"/>
        <w:rPr>
          <w:rFonts w:hint="default"/>
          <w:sz w:val="21"/>
          <w:szCs w:val="21"/>
        </w:rPr>
      </w:pPr>
    </w:p>
    <w:p>
      <w:pPr>
        <w:spacing w:line="560" w:lineRule="atLeast"/>
        <w:jc w:val="right"/>
        <w:rPr>
          <w:rFonts w:hint="default"/>
          <w:sz w:val="21"/>
          <w:szCs w:val="21"/>
        </w:rPr>
      </w:pPr>
      <w:r>
        <w:rPr>
          <w:sz w:val="21"/>
          <w:szCs w:val="21"/>
        </w:rPr>
        <w:t>日期：    年    月   日</w:t>
      </w:r>
    </w:p>
    <w:p>
      <w:pPr>
        <w:rPr>
          <w:rFonts w:hint="default"/>
        </w:rPr>
      </w:pPr>
    </w:p>
    <w:p>
      <w:pPr>
        <w:spacing w:line="360" w:lineRule="auto"/>
        <w:jc w:val="center"/>
        <w:rPr>
          <w:rFonts w:hint="default"/>
          <w:b/>
        </w:rPr>
      </w:pPr>
      <w:bookmarkStart w:id="258" w:name="_Toc310522254"/>
      <w:bookmarkStart w:id="259" w:name="_Toc363035076"/>
      <w:bookmarkStart w:id="260" w:name="_Toc310521729"/>
    </w:p>
    <w:bookmarkEnd w:id="258"/>
    <w:bookmarkEnd w:id="259"/>
    <w:bookmarkEnd w:id="260"/>
    <w:p>
      <w:pPr>
        <w:numPr>
          <w:ilvl w:val="0"/>
          <w:numId w:val="6"/>
        </w:numPr>
        <w:jc w:val="center"/>
        <w:rPr>
          <w:rFonts w:hint="eastAsia"/>
          <w:b/>
          <w:lang w:eastAsia="zh-CN"/>
        </w:rPr>
      </w:pPr>
      <w:r>
        <w:br w:type="page"/>
      </w:r>
      <w:bookmarkStart w:id="261" w:name="_Toc363035077"/>
      <w:bookmarkStart w:id="262" w:name="_Toc310521730"/>
      <w:bookmarkStart w:id="263" w:name="_Toc310522255"/>
      <w:r>
        <w:rPr>
          <w:rFonts w:hint="eastAsia"/>
          <w:b/>
          <w:lang w:eastAsia="zh-CN"/>
        </w:rPr>
        <w:t>资格审查资料</w:t>
      </w:r>
    </w:p>
    <w:p>
      <w:pPr>
        <w:numPr>
          <w:ilvl w:val="0"/>
          <w:numId w:val="0"/>
        </w:numPr>
        <w:jc w:val="both"/>
        <w:rPr>
          <w:rFonts w:hint="default"/>
          <w:b/>
        </w:rPr>
      </w:pPr>
      <w:r>
        <w:rPr>
          <w:rFonts w:hint="eastAsia"/>
          <w:b/>
          <w:lang w:eastAsia="zh-CN"/>
        </w:rPr>
        <w:t>（</w:t>
      </w:r>
      <w:r>
        <w:rPr>
          <w:rFonts w:hint="eastAsia"/>
          <w:b/>
          <w:lang w:val="en-US" w:eastAsia="zh-CN"/>
        </w:rPr>
        <w:t>1</w:t>
      </w:r>
      <w:r>
        <w:rPr>
          <w:rFonts w:hint="eastAsia"/>
          <w:b/>
          <w:lang w:eastAsia="zh-CN"/>
        </w:rPr>
        <w:t>）</w:t>
      </w:r>
      <w:r>
        <w:rPr>
          <w:b/>
        </w:rPr>
        <w:t>投标人基本情况</w:t>
      </w:r>
      <w:bookmarkEnd w:id="261"/>
      <w:bookmarkEnd w:id="262"/>
      <w:bookmarkEnd w:id="263"/>
    </w:p>
    <w:p>
      <w:pPr>
        <w:spacing w:line="360" w:lineRule="auto"/>
        <w:jc w:val="center"/>
        <w:rPr>
          <w:rFonts w:hint="default"/>
          <w:b/>
        </w:rPr>
      </w:pPr>
    </w:p>
    <w:tbl>
      <w:tblPr>
        <w:tblStyle w:val="18"/>
        <w:tblW w:w="97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992"/>
        <w:gridCol w:w="1246"/>
        <w:gridCol w:w="702"/>
        <w:gridCol w:w="630"/>
        <w:gridCol w:w="70"/>
        <w:gridCol w:w="1259"/>
        <w:gridCol w:w="262"/>
        <w:gridCol w:w="662"/>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single" w:color="auto" w:sz="12" w:space="0"/>
              <w:left w:val="single" w:color="auto" w:sz="12" w:space="0"/>
              <w:bottom w:val="outset" w:color="auto" w:sz="6" w:space="0"/>
              <w:right w:val="outset" w:color="auto" w:sz="6" w:space="0"/>
            </w:tcBorders>
            <w:vAlign w:val="center"/>
          </w:tcPr>
          <w:p>
            <w:pPr>
              <w:jc w:val="center"/>
              <w:rPr>
                <w:rFonts w:hint="default"/>
                <w:sz w:val="21"/>
              </w:rPr>
            </w:pPr>
            <w:r>
              <w:rPr>
                <w:sz w:val="21"/>
              </w:rPr>
              <w:t>投标人名称</w:t>
            </w:r>
          </w:p>
        </w:tc>
        <w:tc>
          <w:tcPr>
            <w:tcW w:w="8054" w:type="dxa"/>
            <w:gridSpan w:val="9"/>
            <w:tcBorders>
              <w:top w:val="single" w:color="auto" w:sz="12"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注册地址</w:t>
            </w:r>
          </w:p>
        </w:tc>
        <w:tc>
          <w:tcPr>
            <w:tcW w:w="3640" w:type="dxa"/>
            <w:gridSpan w:val="5"/>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邮政编码</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vMerge w:val="restart"/>
            <w:tcBorders>
              <w:top w:val="outset" w:color="auto" w:sz="6" w:space="0"/>
              <w:left w:val="single" w:color="auto" w:sz="12" w:space="0"/>
              <w:right w:val="outset" w:color="auto" w:sz="6" w:space="0"/>
            </w:tcBorders>
            <w:vAlign w:val="center"/>
          </w:tcPr>
          <w:p>
            <w:pPr>
              <w:jc w:val="center"/>
              <w:rPr>
                <w:rFonts w:hint="default"/>
                <w:sz w:val="21"/>
              </w:rPr>
            </w:pPr>
            <w:r>
              <w:rPr>
                <w:sz w:val="21"/>
              </w:rPr>
              <w:t>联系方式</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联系人</w:t>
            </w:r>
          </w:p>
        </w:tc>
        <w:tc>
          <w:tcPr>
            <w:tcW w:w="2648"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    话</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vMerge w:val="continue"/>
            <w:tcBorders>
              <w:left w:val="single" w:color="auto" w:sz="12" w:space="0"/>
              <w:bottom w:val="outset" w:color="auto" w:sz="6" w:space="0"/>
              <w:right w:val="outset" w:color="auto" w:sz="6" w:space="0"/>
            </w:tcBorders>
            <w:vAlign w:val="center"/>
          </w:tcPr>
          <w:p>
            <w:pPr>
              <w:jc w:val="center"/>
              <w:rPr>
                <w:rFonts w:hint="default"/>
                <w:sz w:val="21"/>
              </w:rPr>
            </w:pP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传  真</w:t>
            </w:r>
          </w:p>
        </w:tc>
        <w:tc>
          <w:tcPr>
            <w:tcW w:w="2648"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网    址</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组织结构</w:t>
            </w:r>
          </w:p>
        </w:tc>
        <w:tc>
          <w:tcPr>
            <w:tcW w:w="8054" w:type="dxa"/>
            <w:gridSpan w:val="9"/>
            <w:tcBorders>
              <w:top w:val="outset" w:color="auto" w:sz="6" w:space="0"/>
              <w:left w:val="outset" w:color="auto" w:sz="6" w:space="0"/>
              <w:bottom w:val="outset" w:color="auto" w:sz="6" w:space="0"/>
              <w:right w:val="single" w:color="auto" w:sz="12" w:space="0"/>
            </w:tcBorders>
            <w:vAlign w:val="center"/>
          </w:tcPr>
          <w:p>
            <w:pPr>
              <w:rPr>
                <w:rFonts w:hint="default"/>
                <w:sz w:val="21"/>
              </w:rPr>
            </w:pPr>
            <w:r>
              <w:rPr>
                <w:sz w:val="21"/>
              </w:rPr>
              <w:t>（文字或框图说明）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法定代表人</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姓名</w:t>
            </w:r>
          </w:p>
        </w:tc>
        <w:tc>
          <w:tcPr>
            <w:tcW w:w="1246"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332" w:type="dxa"/>
            <w:gridSpan w:val="2"/>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技术职称</w:t>
            </w:r>
          </w:p>
        </w:tc>
        <w:tc>
          <w:tcPr>
            <w:tcW w:w="1591" w:type="dxa"/>
            <w:gridSpan w:val="3"/>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66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电话</w:t>
            </w:r>
          </w:p>
        </w:tc>
        <w:tc>
          <w:tcPr>
            <w:tcW w:w="2231"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技术负责人</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姓名</w:t>
            </w:r>
          </w:p>
        </w:tc>
        <w:tc>
          <w:tcPr>
            <w:tcW w:w="1246"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332" w:type="dxa"/>
            <w:gridSpan w:val="2"/>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技术职称</w:t>
            </w:r>
          </w:p>
        </w:tc>
        <w:tc>
          <w:tcPr>
            <w:tcW w:w="1591" w:type="dxa"/>
            <w:gridSpan w:val="3"/>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66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电话</w:t>
            </w:r>
          </w:p>
        </w:tc>
        <w:tc>
          <w:tcPr>
            <w:tcW w:w="2231"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成立时间</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5816" w:type="dxa"/>
            <w:gridSpan w:val="7"/>
            <w:tcBorders>
              <w:top w:val="outset" w:color="auto" w:sz="6" w:space="0"/>
              <w:left w:val="single" w:color="auto" w:sz="4" w:space="0"/>
              <w:bottom w:val="outset" w:color="auto" w:sz="6" w:space="0"/>
              <w:right w:val="single" w:color="auto" w:sz="12" w:space="0"/>
            </w:tcBorders>
            <w:vAlign w:val="center"/>
          </w:tcPr>
          <w:p>
            <w:pPr>
              <w:jc w:val="center"/>
              <w:rPr>
                <w:rFonts w:hint="default"/>
                <w:sz w:val="21"/>
              </w:rPr>
            </w:pPr>
            <w:r>
              <w:rPr>
                <w:sz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企业资质等级</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restart"/>
            <w:tcBorders>
              <w:top w:val="outset" w:color="auto" w:sz="6" w:space="0"/>
              <w:left w:val="single" w:color="auto" w:sz="4" w:space="0"/>
              <w:right w:val="outset" w:color="auto" w:sz="6" w:space="0"/>
            </w:tcBorders>
            <w:vAlign w:val="center"/>
          </w:tcPr>
          <w:p>
            <w:pPr>
              <w:jc w:val="center"/>
              <w:rPr>
                <w:rFonts w:hint="default"/>
                <w:sz w:val="21"/>
              </w:rPr>
            </w:pPr>
            <w:r>
              <w:rPr>
                <w:sz w:val="21"/>
              </w:rPr>
              <w:t>其中</w:t>
            </w: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注册造价工程师</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营业执照号</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全国造价员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注册资金</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高级职称人员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开户银行</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中级职称人员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账号</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bottom w:val="outset" w:color="auto" w:sz="6"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初级职称人员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经营范围</w:t>
            </w:r>
          </w:p>
        </w:tc>
        <w:tc>
          <w:tcPr>
            <w:tcW w:w="8054" w:type="dxa"/>
            <w:gridSpan w:val="9"/>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p>
            <w:pPr>
              <w:pStyle w:val="55"/>
              <w:textAlignment w:val="auto"/>
              <w:rPr>
                <w:rFonts w:ascii="宋体" w:hAnsi="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single" w:color="auto" w:sz="12" w:space="0"/>
              <w:right w:val="outset" w:color="auto" w:sz="6" w:space="0"/>
            </w:tcBorders>
            <w:vAlign w:val="center"/>
          </w:tcPr>
          <w:p>
            <w:pPr>
              <w:jc w:val="center"/>
              <w:rPr>
                <w:rFonts w:hint="default"/>
                <w:sz w:val="21"/>
              </w:rPr>
            </w:pPr>
            <w:r>
              <w:rPr>
                <w:sz w:val="21"/>
              </w:rPr>
              <w:t>备注</w:t>
            </w:r>
          </w:p>
        </w:tc>
        <w:tc>
          <w:tcPr>
            <w:tcW w:w="8054" w:type="dxa"/>
            <w:gridSpan w:val="9"/>
            <w:tcBorders>
              <w:top w:val="outset" w:color="auto" w:sz="6" w:space="0"/>
              <w:left w:val="outset" w:color="auto" w:sz="6" w:space="0"/>
              <w:bottom w:val="single" w:color="auto" w:sz="12" w:space="0"/>
              <w:right w:val="single" w:color="auto" w:sz="12" w:space="0"/>
            </w:tcBorders>
            <w:vAlign w:val="center"/>
          </w:tcPr>
          <w:p>
            <w:pPr>
              <w:jc w:val="center"/>
              <w:rPr>
                <w:rFonts w:hint="default"/>
                <w:sz w:val="21"/>
              </w:rPr>
            </w:pPr>
          </w:p>
        </w:tc>
      </w:tr>
    </w:tbl>
    <w:p>
      <w:pPr>
        <w:ind w:left="735" w:hanging="735" w:hangingChars="350"/>
        <w:rPr>
          <w:rFonts w:hint="default"/>
          <w:sz w:val="21"/>
          <w:szCs w:val="21"/>
        </w:rPr>
      </w:pPr>
      <w:r>
        <w:rPr>
          <w:sz w:val="21"/>
          <w:szCs w:val="21"/>
        </w:rPr>
        <w:t>注：1、附投标人企业营业执照副本、资质证书副本</w:t>
      </w:r>
      <w:r>
        <w:rPr>
          <w:rFonts w:cs="宋体"/>
          <w:sz w:val="21"/>
          <w:szCs w:val="21"/>
        </w:rPr>
        <w:t>。</w:t>
      </w:r>
    </w:p>
    <w:p>
      <w:pPr>
        <w:rPr>
          <w:rFonts w:hint="default"/>
          <w:sz w:val="21"/>
          <w:szCs w:val="21"/>
        </w:rPr>
      </w:pPr>
    </w:p>
    <w:p>
      <w:pPr>
        <w:rPr>
          <w:rFonts w:hint="default"/>
          <w:sz w:val="21"/>
          <w:szCs w:val="21"/>
        </w:rPr>
      </w:pPr>
    </w:p>
    <w:p>
      <w:pPr>
        <w:spacing w:line="480" w:lineRule="auto"/>
        <w:ind w:firstLine="1470" w:firstLineChars="700"/>
        <w:rPr>
          <w:rFonts w:hint="default"/>
          <w:sz w:val="21"/>
          <w:szCs w:val="21"/>
        </w:rPr>
      </w:pPr>
      <w:r>
        <w:rPr>
          <w:sz w:val="21"/>
          <w:szCs w:val="21"/>
        </w:rPr>
        <w:t>投 标 人：</w:t>
      </w:r>
      <w:r>
        <w:rPr>
          <w:sz w:val="21"/>
          <w:szCs w:val="21"/>
          <w:u w:val="single"/>
        </w:rPr>
        <w:t xml:space="preserve">              （全称）             </w:t>
      </w:r>
      <w:r>
        <w:rPr>
          <w:sz w:val="21"/>
          <w:szCs w:val="21"/>
        </w:rPr>
        <w:t>（盖单位公章）</w:t>
      </w:r>
    </w:p>
    <w:p>
      <w:pPr>
        <w:autoSpaceDE w:val="0"/>
        <w:autoSpaceDN w:val="0"/>
        <w:adjustRightInd w:val="0"/>
        <w:snapToGrid w:val="0"/>
        <w:spacing w:line="480" w:lineRule="auto"/>
        <w:ind w:firstLine="1470" w:firstLineChars="700"/>
        <w:rPr>
          <w:rFonts w:hint="default"/>
          <w:kern w:val="0"/>
          <w:sz w:val="21"/>
          <w:szCs w:val="21"/>
          <w:u w:val="single"/>
        </w:rPr>
      </w:pPr>
      <w:r>
        <w:rPr>
          <w:sz w:val="21"/>
          <w:szCs w:val="21"/>
        </w:rPr>
        <w:t>法定代表人或其委托代理人：（签字或盖章）</w:t>
      </w:r>
    </w:p>
    <w:p>
      <w:pPr>
        <w:spacing w:line="480" w:lineRule="auto"/>
        <w:jc w:val="right"/>
        <w:rPr>
          <w:rFonts w:hint="default"/>
          <w:sz w:val="21"/>
          <w:szCs w:val="21"/>
        </w:rPr>
      </w:pPr>
      <w:r>
        <w:rPr>
          <w:kern w:val="0"/>
          <w:sz w:val="21"/>
          <w:szCs w:val="21"/>
        </w:rPr>
        <w:t>年月日</w:t>
      </w:r>
    </w:p>
    <w:p>
      <w:pPr>
        <w:widowControl/>
        <w:jc w:val="left"/>
        <w:rPr>
          <w:rFonts w:hint="default"/>
          <w:b/>
        </w:rPr>
      </w:pPr>
      <w:bookmarkStart w:id="264" w:name="_Toc310522256"/>
      <w:bookmarkStart w:id="265" w:name="_Toc363035079"/>
      <w:bookmarkStart w:id="266" w:name="_Toc310521731"/>
      <w:r>
        <w:rPr>
          <w:rFonts w:hint="default"/>
          <w:b/>
        </w:rPr>
        <w:br w:type="page"/>
      </w:r>
    </w:p>
    <w:p>
      <w:pPr>
        <w:spacing w:line="360" w:lineRule="auto"/>
        <w:jc w:val="center"/>
        <w:rPr>
          <w:rFonts w:hint="default"/>
          <w:b/>
        </w:rPr>
      </w:pPr>
      <w:r>
        <w:rPr>
          <w:rFonts w:hint="eastAsia"/>
          <w:b/>
          <w:lang w:eastAsia="zh-CN"/>
        </w:rPr>
        <w:t>（</w:t>
      </w:r>
      <w:r>
        <w:rPr>
          <w:rFonts w:hint="eastAsia"/>
          <w:b/>
          <w:lang w:val="en-US" w:eastAsia="zh-CN"/>
        </w:rPr>
        <w:t>2</w:t>
      </w:r>
      <w:r>
        <w:rPr>
          <w:rFonts w:hint="eastAsia"/>
          <w:b/>
          <w:lang w:eastAsia="zh-CN"/>
        </w:rPr>
        <w:t>）</w:t>
      </w:r>
      <w:r>
        <w:rPr>
          <w:b/>
        </w:rPr>
        <w:t>、</w:t>
      </w:r>
      <w:bookmarkEnd w:id="264"/>
      <w:bookmarkEnd w:id="265"/>
      <w:bookmarkEnd w:id="266"/>
      <w:r>
        <w:rPr>
          <w:b/>
        </w:rPr>
        <w:t>企业专业技术人员情况</w:t>
      </w:r>
    </w:p>
    <w:tbl>
      <w:tblPr>
        <w:tblStyle w:val="18"/>
        <w:tblW w:w="9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2"/>
        <w:gridCol w:w="964"/>
        <w:gridCol w:w="1093"/>
        <w:gridCol w:w="2059"/>
        <w:gridCol w:w="1167"/>
        <w:gridCol w:w="1702"/>
        <w:gridCol w:w="1058"/>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512" w:type="dxa"/>
            <w:vMerge w:val="restart"/>
            <w:tcBorders>
              <w:top w:val="single" w:color="auto" w:sz="12" w:space="0"/>
              <w:left w:val="single" w:color="auto" w:sz="12" w:space="0"/>
              <w:right w:val="single" w:color="auto" w:sz="4" w:space="0"/>
            </w:tcBorders>
            <w:vAlign w:val="center"/>
          </w:tcPr>
          <w:p>
            <w:pPr>
              <w:pStyle w:val="16"/>
              <w:jc w:val="center"/>
              <w:rPr>
                <w:rFonts w:ascii="宋体" w:hAnsi="宋体"/>
                <w:sz w:val="21"/>
              </w:rPr>
            </w:pPr>
            <w:r>
              <w:rPr>
                <w:rFonts w:hint="eastAsia" w:ascii="宋体" w:hAnsi="宋体"/>
                <w:sz w:val="21"/>
              </w:rPr>
              <w:t>序号</w:t>
            </w:r>
          </w:p>
        </w:tc>
        <w:tc>
          <w:tcPr>
            <w:tcW w:w="964" w:type="dxa"/>
            <w:vMerge w:val="restart"/>
            <w:tcBorders>
              <w:top w:val="single" w:color="auto" w:sz="12" w:space="0"/>
              <w:left w:val="single" w:color="auto" w:sz="4" w:space="0"/>
              <w:right w:val="outset" w:color="auto" w:sz="6" w:space="0"/>
            </w:tcBorders>
            <w:vAlign w:val="center"/>
          </w:tcPr>
          <w:p>
            <w:pPr>
              <w:pStyle w:val="16"/>
              <w:jc w:val="center"/>
              <w:rPr>
                <w:rFonts w:ascii="宋体" w:hAnsi="宋体"/>
                <w:sz w:val="21"/>
              </w:rPr>
            </w:pPr>
            <w:r>
              <w:rPr>
                <w:rFonts w:hint="eastAsia" w:ascii="宋体" w:hAnsi="宋体"/>
                <w:sz w:val="21"/>
              </w:rPr>
              <w:t>职务</w:t>
            </w:r>
          </w:p>
        </w:tc>
        <w:tc>
          <w:tcPr>
            <w:tcW w:w="1093" w:type="dxa"/>
            <w:vMerge w:val="restart"/>
            <w:tcBorders>
              <w:top w:val="single" w:color="auto" w:sz="12" w:space="0"/>
              <w:left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姓名</w:t>
            </w:r>
          </w:p>
        </w:tc>
        <w:tc>
          <w:tcPr>
            <w:tcW w:w="2059" w:type="dxa"/>
            <w:vMerge w:val="restart"/>
            <w:tcBorders>
              <w:top w:val="single" w:color="auto" w:sz="12" w:space="0"/>
              <w:left w:val="single" w:color="auto" w:sz="4" w:space="0"/>
              <w:right w:val="outset" w:color="auto" w:sz="6" w:space="0"/>
            </w:tcBorders>
            <w:vAlign w:val="center"/>
          </w:tcPr>
          <w:p>
            <w:pPr>
              <w:pStyle w:val="16"/>
              <w:ind w:left="48" w:hanging="48" w:hangingChars="23"/>
              <w:jc w:val="center"/>
              <w:rPr>
                <w:rFonts w:ascii="宋体" w:hAnsi="宋体"/>
                <w:sz w:val="21"/>
              </w:rPr>
            </w:pPr>
            <w:r>
              <w:rPr>
                <w:rFonts w:hint="eastAsia" w:ascii="宋体" w:hAnsi="宋体"/>
                <w:sz w:val="21"/>
              </w:rPr>
              <w:t>身份证</w:t>
            </w:r>
          </w:p>
        </w:tc>
        <w:tc>
          <w:tcPr>
            <w:tcW w:w="3927" w:type="dxa"/>
            <w:gridSpan w:val="3"/>
            <w:tcBorders>
              <w:top w:val="single" w:color="auto" w:sz="12" w:space="0"/>
              <w:left w:val="outset" w:color="auto" w:sz="6" w:space="0"/>
              <w:bottom w:val="outset" w:color="auto" w:sz="6" w:space="0"/>
              <w:right w:val="outset" w:color="auto" w:sz="6" w:space="0"/>
            </w:tcBorders>
            <w:vAlign w:val="center"/>
          </w:tcPr>
          <w:p>
            <w:pPr>
              <w:pStyle w:val="16"/>
              <w:jc w:val="center"/>
              <w:rPr>
                <w:rFonts w:ascii="宋体" w:hAnsi="宋体"/>
                <w:sz w:val="21"/>
              </w:rPr>
            </w:pPr>
            <w:r>
              <w:rPr>
                <w:rFonts w:hint="eastAsia" w:ascii="宋体" w:hAnsi="宋体"/>
                <w:sz w:val="21"/>
              </w:rPr>
              <w:t>执业证书</w:t>
            </w:r>
          </w:p>
        </w:tc>
        <w:tc>
          <w:tcPr>
            <w:tcW w:w="932" w:type="dxa"/>
            <w:vMerge w:val="restart"/>
            <w:tcBorders>
              <w:top w:val="single" w:color="auto" w:sz="12" w:space="0"/>
              <w:left w:val="outset" w:color="auto" w:sz="6" w:space="0"/>
              <w:right w:val="single" w:color="auto" w:sz="12" w:space="0"/>
            </w:tcBorders>
            <w:vAlign w:val="center"/>
          </w:tcPr>
          <w:p>
            <w:pPr>
              <w:pStyle w:val="16"/>
              <w:jc w:val="center"/>
              <w:rPr>
                <w:rFonts w:ascii="宋体" w:hAnsi="宋体"/>
                <w:sz w:val="21"/>
              </w:rPr>
            </w:pPr>
            <w:r>
              <w:rPr>
                <w:rFonts w:hint="eastAsia" w:ascii="宋体" w:hAnsi="宋体"/>
                <w:sz w:val="21"/>
              </w:rPr>
              <w:t>拟投入本项目的岗位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512" w:type="dxa"/>
            <w:vMerge w:val="continue"/>
            <w:tcBorders>
              <w:left w:val="single" w:color="auto" w:sz="12" w:space="0"/>
              <w:bottom w:val="outset" w:color="auto" w:sz="6" w:space="0"/>
              <w:right w:val="single" w:color="auto" w:sz="4" w:space="0"/>
            </w:tcBorders>
            <w:vAlign w:val="center"/>
          </w:tcPr>
          <w:p>
            <w:pPr>
              <w:pStyle w:val="16"/>
              <w:jc w:val="center"/>
              <w:rPr>
                <w:rFonts w:ascii="宋体" w:hAnsi="宋体"/>
                <w:sz w:val="21"/>
              </w:rPr>
            </w:pPr>
          </w:p>
        </w:tc>
        <w:tc>
          <w:tcPr>
            <w:tcW w:w="964" w:type="dxa"/>
            <w:vMerge w:val="continue"/>
            <w:tcBorders>
              <w:left w:val="single" w:color="auto" w:sz="4" w:space="0"/>
              <w:bottom w:val="outset" w:color="auto" w:sz="6" w:space="0"/>
              <w:right w:val="outset" w:color="auto" w:sz="6" w:space="0"/>
            </w:tcBorders>
            <w:vAlign w:val="center"/>
          </w:tcPr>
          <w:p>
            <w:pPr>
              <w:pStyle w:val="16"/>
              <w:jc w:val="center"/>
              <w:rPr>
                <w:rFonts w:ascii="宋体" w:hAnsi="宋体"/>
                <w:sz w:val="21"/>
              </w:rPr>
            </w:pPr>
          </w:p>
        </w:tc>
        <w:tc>
          <w:tcPr>
            <w:tcW w:w="1093" w:type="dxa"/>
            <w:vMerge w:val="continue"/>
            <w:tcBorders>
              <w:left w:val="outset" w:color="auto" w:sz="6" w:space="0"/>
              <w:bottom w:val="outset" w:color="auto" w:sz="6" w:space="0"/>
              <w:right w:val="single" w:color="auto" w:sz="4" w:space="0"/>
            </w:tcBorders>
            <w:vAlign w:val="center"/>
          </w:tcPr>
          <w:p>
            <w:pPr>
              <w:pStyle w:val="16"/>
              <w:jc w:val="center"/>
              <w:rPr>
                <w:rFonts w:ascii="宋体" w:hAnsi="宋体"/>
                <w:sz w:val="21"/>
              </w:rPr>
            </w:pPr>
          </w:p>
        </w:tc>
        <w:tc>
          <w:tcPr>
            <w:tcW w:w="2059" w:type="dxa"/>
            <w:vMerge w:val="continue"/>
            <w:tcBorders>
              <w:left w:val="single" w:color="auto" w:sz="4" w:space="0"/>
              <w:bottom w:val="outset" w:color="auto" w:sz="6" w:space="0"/>
              <w:right w:val="outset" w:color="auto" w:sz="6" w:space="0"/>
            </w:tcBorders>
            <w:vAlign w:val="center"/>
          </w:tcPr>
          <w:p>
            <w:pPr>
              <w:pStyle w:val="16"/>
              <w:jc w:val="center"/>
              <w:rPr>
                <w:rFonts w:ascii="宋体" w:hAnsi="宋体"/>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证书名称</w:t>
            </w:r>
          </w:p>
        </w:tc>
        <w:tc>
          <w:tcPr>
            <w:tcW w:w="1702" w:type="dxa"/>
            <w:tcBorders>
              <w:top w:val="outset" w:color="auto" w:sz="6" w:space="0"/>
              <w:left w:val="single" w:color="auto" w:sz="4" w:space="0"/>
              <w:bottom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证号</w:t>
            </w:r>
          </w:p>
        </w:tc>
        <w:tc>
          <w:tcPr>
            <w:tcW w:w="1058" w:type="dxa"/>
            <w:tcBorders>
              <w:top w:val="outset" w:color="auto" w:sz="6" w:space="0"/>
              <w:left w:val="single" w:color="auto" w:sz="4" w:space="0"/>
              <w:bottom w:val="outset" w:color="auto" w:sz="6" w:space="0"/>
              <w:right w:val="outset" w:color="auto" w:sz="6" w:space="0"/>
            </w:tcBorders>
            <w:vAlign w:val="center"/>
          </w:tcPr>
          <w:p>
            <w:pPr>
              <w:pStyle w:val="16"/>
              <w:jc w:val="center"/>
              <w:rPr>
                <w:rFonts w:ascii="宋体" w:hAnsi="宋体"/>
                <w:sz w:val="21"/>
              </w:rPr>
            </w:pPr>
            <w:r>
              <w:rPr>
                <w:rFonts w:hint="eastAsia" w:ascii="宋体" w:hAnsi="宋体"/>
                <w:sz w:val="21"/>
              </w:rPr>
              <w:t>专业</w:t>
            </w:r>
          </w:p>
        </w:tc>
        <w:tc>
          <w:tcPr>
            <w:tcW w:w="932" w:type="dxa"/>
            <w:vMerge w:val="continue"/>
            <w:tcBorders>
              <w:left w:val="outset" w:color="auto" w:sz="6" w:space="0"/>
              <w:bottom w:val="outset" w:color="auto" w:sz="6" w:space="0"/>
              <w:right w:val="single" w:color="auto" w:sz="12" w:space="0"/>
            </w:tcBorders>
            <w:vAlign w:val="center"/>
          </w:tcPr>
          <w:p>
            <w:pPr>
              <w:pStyle w:val="16"/>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single" w:color="auto" w:sz="12"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single" w:color="auto" w:sz="12"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single" w:color="auto" w:sz="12"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single" w:color="auto" w:sz="12"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single" w:color="auto" w:sz="12" w:space="0"/>
              <w:right w:val="single" w:color="auto" w:sz="12" w:space="0"/>
            </w:tcBorders>
            <w:vAlign w:val="center"/>
          </w:tcPr>
          <w:p>
            <w:pPr>
              <w:jc w:val="center"/>
              <w:rPr>
                <w:rFonts w:hint="default"/>
                <w:sz w:val="21"/>
              </w:rPr>
            </w:pPr>
          </w:p>
        </w:tc>
      </w:tr>
    </w:tbl>
    <w:p>
      <w:pPr>
        <w:rPr>
          <w:rFonts w:hint="default"/>
          <w:sz w:val="21"/>
          <w:szCs w:val="21"/>
        </w:rPr>
      </w:pPr>
    </w:p>
    <w:p>
      <w:pPr>
        <w:rPr>
          <w:rFonts w:hint="default"/>
          <w:sz w:val="21"/>
          <w:szCs w:val="21"/>
        </w:rPr>
      </w:pPr>
      <w:r>
        <w:rPr>
          <w:sz w:val="21"/>
          <w:szCs w:val="21"/>
        </w:rPr>
        <w:t>注：1.附项目负责人</w:t>
      </w:r>
      <w:r>
        <w:rPr>
          <w:rFonts w:cs="宋体"/>
          <w:sz w:val="21"/>
          <w:szCs w:val="21"/>
        </w:rPr>
        <w:t>国家注册造价工程师资格证</w:t>
      </w:r>
      <w:r>
        <w:rPr>
          <w:sz w:val="21"/>
          <w:szCs w:val="21"/>
        </w:rPr>
        <w:t>、职称证、身份证复印件；</w:t>
      </w:r>
    </w:p>
    <w:p>
      <w:pPr>
        <w:numPr>
          <w:ilvl w:val="0"/>
          <w:numId w:val="7"/>
        </w:numPr>
        <w:ind w:firstLine="411" w:firstLineChars="196"/>
        <w:rPr>
          <w:rFonts w:hint="default"/>
          <w:sz w:val="21"/>
          <w:szCs w:val="21"/>
        </w:rPr>
      </w:pPr>
      <w:r>
        <w:rPr>
          <w:sz w:val="21"/>
          <w:szCs w:val="21"/>
        </w:rPr>
        <w:t>附专业技术人员</w:t>
      </w:r>
      <w:r>
        <w:rPr>
          <w:rFonts w:cs="宋体"/>
          <w:sz w:val="21"/>
          <w:szCs w:val="21"/>
        </w:rPr>
        <w:t>相关证件</w:t>
      </w:r>
      <w:r>
        <w:rPr>
          <w:sz w:val="21"/>
          <w:szCs w:val="21"/>
        </w:rPr>
        <w:t>、身份证复印件。</w:t>
      </w:r>
    </w:p>
    <w:p>
      <w:pPr>
        <w:numPr>
          <w:ilvl w:val="0"/>
          <w:numId w:val="7"/>
        </w:numPr>
        <w:ind w:firstLine="411" w:firstLineChars="196"/>
        <w:rPr>
          <w:rFonts w:hint="default"/>
          <w:b/>
          <w:bCs/>
          <w:sz w:val="21"/>
          <w:szCs w:val="21"/>
        </w:rPr>
      </w:pPr>
      <w:r>
        <w:rPr>
          <w:rFonts w:cs="宋体"/>
          <w:sz w:val="21"/>
          <w:szCs w:val="21"/>
        </w:rPr>
        <w:t>提供人员在本单位缴纳劳动保障部门出具的社保证明。</w:t>
      </w:r>
    </w:p>
    <w:p>
      <w:pPr>
        <w:numPr>
          <w:ilvl w:val="0"/>
          <w:numId w:val="7"/>
        </w:numPr>
        <w:ind w:firstLine="411" w:firstLineChars="196"/>
        <w:rPr>
          <w:rFonts w:hint="default"/>
          <w:b/>
          <w:bCs/>
          <w:sz w:val="21"/>
          <w:szCs w:val="21"/>
        </w:rPr>
      </w:pPr>
      <w:r>
        <w:rPr>
          <w:rFonts w:cs="宋体"/>
          <w:sz w:val="21"/>
          <w:szCs w:val="21"/>
        </w:rPr>
        <w:br w:type="page"/>
      </w:r>
    </w:p>
    <w:p>
      <w:pPr>
        <w:jc w:val="center"/>
        <w:rPr>
          <w:rFonts w:hint="default" w:asciiTheme="minorEastAsia" w:hAnsiTheme="minorEastAsia" w:eastAsiaTheme="minorEastAsia" w:cstheme="minorEastAsia"/>
          <w:b/>
          <w:szCs w:val="21"/>
        </w:rPr>
      </w:pPr>
      <w:r>
        <w:rPr>
          <w:rFonts w:asciiTheme="minorEastAsia" w:hAnsiTheme="minorEastAsia" w:eastAsiaTheme="minorEastAsia" w:cstheme="minorEastAsia"/>
          <w:b/>
        </w:rPr>
        <w:t>专业技术人员</w:t>
      </w:r>
      <w:r>
        <w:rPr>
          <w:rFonts w:asciiTheme="minorEastAsia" w:hAnsiTheme="minorEastAsia" w:eastAsiaTheme="minorEastAsia" w:cstheme="minorEastAsia"/>
          <w:b/>
          <w:szCs w:val="21"/>
        </w:rPr>
        <w:t>简历表</w:t>
      </w:r>
    </w:p>
    <w:tbl>
      <w:tblPr>
        <w:tblStyle w:val="18"/>
        <w:tblW w:w="881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155"/>
        <w:gridCol w:w="385"/>
        <w:gridCol w:w="980"/>
        <w:gridCol w:w="966"/>
        <w:gridCol w:w="1274"/>
        <w:gridCol w:w="518"/>
        <w:gridCol w:w="1168"/>
        <w:gridCol w:w="2373"/>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姓名</w:t>
            </w:r>
          </w:p>
        </w:tc>
        <w:tc>
          <w:tcPr>
            <w:tcW w:w="1365" w:type="dxa"/>
            <w:gridSpan w:val="2"/>
            <w:vAlign w:val="center"/>
          </w:tcPr>
          <w:p>
            <w:pPr>
              <w:jc w:val="center"/>
              <w:rPr>
                <w:rFonts w:hint="default" w:asciiTheme="minorEastAsia" w:hAnsiTheme="minorEastAsia" w:eastAsiaTheme="minorEastAsia" w:cstheme="minorEastAsia"/>
                <w:szCs w:val="21"/>
              </w:rPr>
            </w:pPr>
          </w:p>
        </w:tc>
        <w:tc>
          <w:tcPr>
            <w:tcW w:w="966"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年龄</w:t>
            </w:r>
          </w:p>
        </w:tc>
        <w:tc>
          <w:tcPr>
            <w:tcW w:w="1274" w:type="dxa"/>
            <w:vAlign w:val="center"/>
          </w:tcPr>
          <w:p>
            <w:pPr>
              <w:jc w:val="center"/>
              <w:rPr>
                <w:rFonts w:hint="default" w:asciiTheme="minorEastAsia" w:hAnsiTheme="minorEastAsia" w:eastAsiaTheme="minorEastAsia" w:cstheme="minorEastAsia"/>
                <w:szCs w:val="21"/>
              </w:rPr>
            </w:pPr>
          </w:p>
        </w:tc>
        <w:tc>
          <w:tcPr>
            <w:tcW w:w="1686"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学历</w:t>
            </w: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职称</w:t>
            </w:r>
          </w:p>
        </w:tc>
        <w:tc>
          <w:tcPr>
            <w:tcW w:w="1365" w:type="dxa"/>
            <w:gridSpan w:val="2"/>
            <w:vAlign w:val="center"/>
          </w:tcPr>
          <w:p>
            <w:pPr>
              <w:jc w:val="center"/>
              <w:rPr>
                <w:rFonts w:hint="default" w:asciiTheme="minorEastAsia" w:hAnsiTheme="minorEastAsia" w:eastAsiaTheme="minorEastAsia" w:cstheme="minorEastAsia"/>
                <w:szCs w:val="21"/>
              </w:rPr>
            </w:pPr>
          </w:p>
        </w:tc>
        <w:tc>
          <w:tcPr>
            <w:tcW w:w="966"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职务</w:t>
            </w:r>
          </w:p>
        </w:tc>
        <w:tc>
          <w:tcPr>
            <w:tcW w:w="1274" w:type="dxa"/>
            <w:vAlign w:val="center"/>
          </w:tcPr>
          <w:p>
            <w:pPr>
              <w:jc w:val="center"/>
              <w:rPr>
                <w:rFonts w:hint="default" w:asciiTheme="minorEastAsia" w:hAnsiTheme="minorEastAsia" w:eastAsiaTheme="minorEastAsia" w:cstheme="minorEastAsia"/>
                <w:szCs w:val="21"/>
              </w:rPr>
            </w:pPr>
          </w:p>
        </w:tc>
        <w:tc>
          <w:tcPr>
            <w:tcW w:w="1686"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拟在本合同任职</w:t>
            </w: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毕业学校</w:t>
            </w:r>
          </w:p>
        </w:tc>
        <w:tc>
          <w:tcPr>
            <w:tcW w:w="7664" w:type="dxa"/>
            <w:gridSpan w:val="7"/>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年毕业于             学校             专业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8819" w:type="dxa"/>
            <w:gridSpan w:val="8"/>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主要工作经历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时间</w:t>
            </w:r>
          </w:p>
        </w:tc>
        <w:tc>
          <w:tcPr>
            <w:tcW w:w="3738" w:type="dxa"/>
            <w:gridSpan w:val="4"/>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参加过的类似项目</w:t>
            </w:r>
          </w:p>
        </w:tc>
        <w:tc>
          <w:tcPr>
            <w:tcW w:w="1168"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担任职务</w:t>
            </w:r>
          </w:p>
        </w:tc>
        <w:tc>
          <w:tcPr>
            <w:tcW w:w="2373"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发包人及联系电话</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p>
        </w:tc>
        <w:tc>
          <w:tcPr>
            <w:tcW w:w="3738" w:type="dxa"/>
            <w:gridSpan w:val="4"/>
            <w:vAlign w:val="center"/>
          </w:tcPr>
          <w:p>
            <w:pPr>
              <w:jc w:val="center"/>
              <w:rPr>
                <w:rFonts w:hint="default" w:asciiTheme="minorEastAsia" w:hAnsiTheme="minorEastAsia" w:eastAsiaTheme="minorEastAsia" w:cstheme="minorEastAsia"/>
                <w:szCs w:val="21"/>
              </w:rPr>
            </w:pPr>
          </w:p>
        </w:tc>
        <w:tc>
          <w:tcPr>
            <w:tcW w:w="1168" w:type="dxa"/>
            <w:vAlign w:val="center"/>
          </w:tcPr>
          <w:p>
            <w:pPr>
              <w:jc w:val="center"/>
              <w:rPr>
                <w:rFonts w:hint="default" w:asciiTheme="minorEastAsia" w:hAnsiTheme="minorEastAsia" w:eastAsiaTheme="minorEastAsia" w:cstheme="minorEastAsia"/>
                <w:szCs w:val="21"/>
              </w:rPr>
            </w:pP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p>
        </w:tc>
        <w:tc>
          <w:tcPr>
            <w:tcW w:w="3738" w:type="dxa"/>
            <w:gridSpan w:val="4"/>
            <w:vAlign w:val="center"/>
          </w:tcPr>
          <w:p>
            <w:pPr>
              <w:jc w:val="center"/>
              <w:rPr>
                <w:rFonts w:hint="default" w:asciiTheme="minorEastAsia" w:hAnsiTheme="minorEastAsia" w:eastAsiaTheme="minorEastAsia" w:cstheme="minorEastAsia"/>
                <w:szCs w:val="21"/>
              </w:rPr>
            </w:pPr>
          </w:p>
        </w:tc>
        <w:tc>
          <w:tcPr>
            <w:tcW w:w="1168" w:type="dxa"/>
            <w:vAlign w:val="center"/>
          </w:tcPr>
          <w:p>
            <w:pPr>
              <w:jc w:val="center"/>
              <w:rPr>
                <w:rFonts w:hint="default" w:asciiTheme="minorEastAsia" w:hAnsiTheme="minorEastAsia" w:eastAsiaTheme="minorEastAsia" w:cstheme="minorEastAsia"/>
                <w:szCs w:val="21"/>
              </w:rPr>
            </w:pPr>
          </w:p>
        </w:tc>
        <w:tc>
          <w:tcPr>
            <w:tcW w:w="2373" w:type="dxa"/>
            <w:vAlign w:val="center"/>
          </w:tcPr>
          <w:p>
            <w:pPr>
              <w:jc w:val="center"/>
              <w:rPr>
                <w:rFonts w:hint="default" w:asciiTheme="minorEastAsia" w:hAnsiTheme="minorEastAsia" w:eastAsiaTheme="minorEastAsia" w:cstheme="minorEastAsia"/>
                <w:szCs w:val="21"/>
              </w:rPr>
            </w:pPr>
          </w:p>
        </w:tc>
      </w:tr>
    </w:tbl>
    <w:p>
      <w:pPr>
        <w:rPr>
          <w:rFonts w:hint="default" w:asciiTheme="minorEastAsia" w:hAnsiTheme="minorEastAsia" w:eastAsiaTheme="minorEastAsia" w:cstheme="minorEastAsia"/>
          <w:b/>
          <w:bCs/>
          <w:sz w:val="21"/>
          <w:szCs w:val="21"/>
        </w:rPr>
      </w:pPr>
    </w:p>
    <w:p>
      <w:pPr>
        <w:jc w:val="left"/>
        <w:rPr>
          <w:rFonts w:hint="default" w:ascii="仿宋" w:hAnsi="仿宋" w:eastAsia="仿宋"/>
          <w:szCs w:val="21"/>
        </w:rPr>
      </w:pPr>
      <w:bookmarkStart w:id="267" w:name="_Toc363035080"/>
      <w:r>
        <w:rPr>
          <w:rFonts w:asciiTheme="minorEastAsia" w:hAnsiTheme="minorEastAsia" w:eastAsiaTheme="minorEastAsia" w:cstheme="minorEastAsia"/>
          <w:szCs w:val="21"/>
        </w:rPr>
        <w:t>“项目部专业技术人员简历表”中的拟任专业技术人员、项目负责人附注册证、职称证、社保证明、身份证</w:t>
      </w:r>
      <w:r>
        <w:rPr>
          <w:rFonts w:ascii="仿宋" w:hAnsi="仿宋" w:eastAsia="仿宋"/>
          <w:szCs w:val="21"/>
        </w:rPr>
        <w:t>；</w:t>
      </w:r>
    </w:p>
    <w:p>
      <w:pPr>
        <w:jc w:val="center"/>
        <w:rPr>
          <w:rFonts w:hint="default"/>
          <w:b/>
          <w:szCs w:val="24"/>
        </w:rPr>
      </w:pPr>
      <w:r>
        <w:rPr>
          <w:b/>
          <w:szCs w:val="24"/>
        </w:rPr>
        <w:br w:type="page"/>
      </w:r>
    </w:p>
    <w:p>
      <w:pPr>
        <w:jc w:val="center"/>
        <w:rPr>
          <w:rFonts w:hint="default"/>
          <w:b/>
          <w:szCs w:val="24"/>
        </w:rPr>
      </w:pPr>
      <w:r>
        <w:rPr>
          <w:rFonts w:hint="eastAsia"/>
          <w:b/>
          <w:szCs w:val="24"/>
          <w:lang w:eastAsia="zh-CN"/>
        </w:rPr>
        <w:t>（</w:t>
      </w:r>
      <w:r>
        <w:rPr>
          <w:rFonts w:hint="eastAsia"/>
          <w:b/>
          <w:szCs w:val="24"/>
          <w:lang w:val="en-US" w:eastAsia="zh-CN"/>
        </w:rPr>
        <w:t>3</w:t>
      </w:r>
      <w:r>
        <w:rPr>
          <w:rFonts w:hint="eastAsia"/>
          <w:b/>
          <w:szCs w:val="24"/>
          <w:lang w:eastAsia="zh-CN"/>
        </w:rPr>
        <w:t>）</w:t>
      </w:r>
      <w:r>
        <w:rPr>
          <w:b/>
          <w:szCs w:val="24"/>
        </w:rPr>
        <w:t>、投标人类似业绩经验</w:t>
      </w:r>
      <w:bookmarkEnd w:id="267"/>
    </w:p>
    <w:p>
      <w:pPr>
        <w:jc w:val="center"/>
        <w:rPr>
          <w:rFonts w:hint="default"/>
          <w:b/>
          <w:sz w:val="28"/>
          <w:szCs w:val="28"/>
        </w:rPr>
      </w:pPr>
    </w:p>
    <w:p>
      <w:pPr>
        <w:jc w:val="center"/>
        <w:rPr>
          <w:rFonts w:hint="default"/>
          <w:b/>
          <w:szCs w:val="24"/>
        </w:rPr>
      </w:pPr>
    </w:p>
    <w:tbl>
      <w:tblPr>
        <w:tblStyle w:val="1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top w:val="single" w:color="auto" w:sz="12" w:space="0"/>
              <w:left w:val="single" w:color="auto" w:sz="12" w:space="0"/>
            </w:tcBorders>
            <w:vAlign w:val="center"/>
          </w:tcPr>
          <w:p>
            <w:pPr>
              <w:jc w:val="center"/>
              <w:rPr>
                <w:rFonts w:hint="default"/>
                <w:sz w:val="21"/>
              </w:rPr>
            </w:pPr>
            <w:r>
              <w:rPr>
                <w:sz w:val="21"/>
              </w:rPr>
              <w:t>项目名称</w:t>
            </w:r>
          </w:p>
        </w:tc>
        <w:tc>
          <w:tcPr>
            <w:tcW w:w="7247" w:type="dxa"/>
            <w:tcBorders>
              <w:top w:val="single" w:color="auto" w:sz="12"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项目所在地</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委托人名称</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委托人地址</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委托人电话</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合同价格</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编制时间</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承担的工作内容</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项目负责人</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专业技术人员</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项目描述</w:t>
            </w:r>
          </w:p>
        </w:tc>
        <w:tc>
          <w:tcPr>
            <w:tcW w:w="7247" w:type="dxa"/>
            <w:tcBorders>
              <w:right w:val="single" w:color="auto" w:sz="12" w:space="0"/>
            </w:tcBorders>
            <w:vAlign w:val="center"/>
          </w:tcPr>
          <w:p>
            <w:pPr>
              <w:jc w:val="center"/>
              <w:rPr>
                <w:rFonts w:hint="default"/>
                <w:sz w:val="21"/>
              </w:rPr>
            </w:pPr>
          </w:p>
          <w:p>
            <w:pPr>
              <w:jc w:val="center"/>
              <w:rPr>
                <w:rFonts w:hint="default"/>
                <w:sz w:val="21"/>
              </w:rPr>
            </w:pPr>
          </w:p>
          <w:p>
            <w:pPr>
              <w:pStyle w:val="55"/>
              <w:textAlignment w:val="auto"/>
              <w:rPr>
                <w:rFonts w:ascii="宋体" w:hAnsi="宋体"/>
                <w:kern w:val="2"/>
                <w:szCs w:val="24"/>
              </w:rPr>
            </w:pPr>
          </w:p>
          <w:p>
            <w:pPr>
              <w:jc w:val="center"/>
              <w:rPr>
                <w:rFonts w:hint="default"/>
                <w:sz w:val="21"/>
              </w:rPr>
            </w:pPr>
          </w:p>
          <w:p>
            <w:pPr>
              <w:jc w:val="center"/>
              <w:rPr>
                <w:rFonts w:hint="default"/>
                <w:sz w:val="21"/>
              </w:rPr>
            </w:pPr>
          </w:p>
          <w:p>
            <w:pPr>
              <w:pStyle w:val="55"/>
              <w:textAlignment w:val="auto"/>
              <w:rPr>
                <w:rFonts w:ascii="宋体"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bottom w:val="single" w:color="auto" w:sz="12" w:space="0"/>
            </w:tcBorders>
            <w:vAlign w:val="center"/>
          </w:tcPr>
          <w:p>
            <w:pPr>
              <w:jc w:val="center"/>
              <w:rPr>
                <w:rFonts w:hint="default"/>
                <w:sz w:val="21"/>
              </w:rPr>
            </w:pPr>
            <w:r>
              <w:rPr>
                <w:sz w:val="21"/>
              </w:rPr>
              <w:t>备注</w:t>
            </w:r>
          </w:p>
        </w:tc>
        <w:tc>
          <w:tcPr>
            <w:tcW w:w="7247" w:type="dxa"/>
            <w:tcBorders>
              <w:bottom w:val="single" w:color="auto" w:sz="12" w:space="0"/>
              <w:right w:val="single" w:color="auto" w:sz="12" w:space="0"/>
            </w:tcBorders>
            <w:vAlign w:val="center"/>
          </w:tcPr>
          <w:p>
            <w:pPr>
              <w:jc w:val="center"/>
              <w:rPr>
                <w:rFonts w:hint="default"/>
                <w:sz w:val="21"/>
              </w:rPr>
            </w:pPr>
          </w:p>
        </w:tc>
      </w:tr>
    </w:tbl>
    <w:p>
      <w:pPr>
        <w:spacing w:beforeLines="50" w:line="360" w:lineRule="auto"/>
        <w:ind w:firstLine="420" w:firstLineChars="200"/>
        <w:rPr>
          <w:rFonts w:hint="default"/>
          <w:sz w:val="21"/>
          <w:szCs w:val="21"/>
        </w:rPr>
      </w:pPr>
      <w:r>
        <w:rPr>
          <w:sz w:val="21"/>
          <w:szCs w:val="21"/>
        </w:rPr>
        <w:t>注：</w:t>
      </w:r>
    </w:p>
    <w:p>
      <w:pPr>
        <w:numPr>
          <w:ilvl w:val="0"/>
          <w:numId w:val="8"/>
        </w:numPr>
        <w:spacing w:line="360" w:lineRule="auto"/>
        <w:ind w:firstLine="210" w:firstLineChars="100"/>
        <w:rPr>
          <w:rFonts w:hint="default" w:cs="宋体"/>
          <w:sz w:val="21"/>
          <w:szCs w:val="21"/>
        </w:rPr>
      </w:pPr>
      <w:r>
        <w:rPr>
          <w:sz w:val="21"/>
          <w:szCs w:val="21"/>
        </w:rPr>
        <w:t>提供完成的类似业绩情况</w:t>
      </w:r>
      <w:r>
        <w:rPr>
          <w:rFonts w:hint="eastAsia"/>
          <w:sz w:val="21"/>
          <w:szCs w:val="21"/>
          <w:lang w:eastAsia="zh-CN"/>
        </w:rPr>
        <w:t>原件扫描件</w:t>
      </w:r>
      <w:r>
        <w:rPr>
          <w:sz w:val="21"/>
          <w:szCs w:val="21"/>
        </w:rPr>
        <w:t>。</w:t>
      </w:r>
    </w:p>
    <w:p>
      <w:pPr>
        <w:spacing w:line="360" w:lineRule="auto"/>
        <w:rPr>
          <w:rFonts w:hint="default"/>
          <w:sz w:val="21"/>
          <w:szCs w:val="21"/>
        </w:rPr>
      </w:pPr>
      <w:r>
        <w:rPr>
          <w:sz w:val="21"/>
          <w:szCs w:val="21"/>
        </w:rPr>
        <w:t xml:space="preserve">  （2）每张表格只填写一个项目，并标明序号。附</w:t>
      </w:r>
      <w:r>
        <w:rPr>
          <w:rFonts w:hint="eastAsia" w:asciiTheme="minorEastAsia" w:hAnsiTheme="minorEastAsia" w:eastAsiaTheme="minorEastAsia" w:cstheme="minorEastAsia"/>
          <w:sz w:val="21"/>
          <w:szCs w:val="21"/>
          <w:lang w:eastAsia="zh-CN"/>
        </w:rPr>
        <w:t>业绩证明材料</w:t>
      </w:r>
      <w:r>
        <w:rPr>
          <w:sz w:val="21"/>
          <w:szCs w:val="21"/>
        </w:rPr>
        <w:t>。</w:t>
      </w:r>
    </w:p>
    <w:p>
      <w:pPr>
        <w:spacing w:line="360" w:lineRule="auto"/>
        <w:ind w:firstLine="210" w:firstLineChars="100"/>
        <w:rPr>
          <w:rFonts w:hint="default"/>
          <w:sz w:val="21"/>
          <w:szCs w:val="21"/>
        </w:rPr>
        <w:sectPr>
          <w:pgSz w:w="11906" w:h="16838"/>
          <w:pgMar w:top="1417" w:right="1361" w:bottom="1247" w:left="1361" w:header="907" w:footer="737" w:gutter="0"/>
          <w:pgNumType w:fmt="decimal"/>
          <w:cols w:space="0" w:num="1"/>
          <w:titlePg/>
          <w:rtlGutter w:val="0"/>
          <w:docGrid w:linePitch="326" w:charSpace="0"/>
        </w:sectPr>
      </w:pPr>
    </w:p>
    <w:p>
      <w:pPr>
        <w:pStyle w:val="5"/>
        <w:numPr>
          <w:ilvl w:val="1"/>
          <w:numId w:val="0"/>
        </w:numPr>
        <w:tabs>
          <w:tab w:val="left" w:pos="1380"/>
        </w:tabs>
        <w:spacing w:line="480" w:lineRule="exact"/>
        <w:jc w:val="center"/>
        <w:rPr>
          <w:sz w:val="28"/>
          <w:szCs w:val="28"/>
        </w:rPr>
      </w:pPr>
      <w:bookmarkStart w:id="268" w:name="_Toc310522257"/>
      <w:bookmarkStart w:id="269" w:name="_Toc310521732"/>
      <w:bookmarkStart w:id="270" w:name="_Toc363035082"/>
      <w:r>
        <w:rPr>
          <w:rFonts w:hint="eastAsia"/>
          <w:b/>
          <w:lang w:eastAsia="zh-CN"/>
        </w:rPr>
        <w:t>七</w:t>
      </w:r>
      <w:r>
        <w:rPr>
          <w:b/>
        </w:rPr>
        <w:t>、</w:t>
      </w:r>
      <w:bookmarkEnd w:id="268"/>
      <w:bookmarkEnd w:id="269"/>
      <w:bookmarkEnd w:id="270"/>
      <w:bookmarkStart w:id="271" w:name="_Toc363035086"/>
      <w:r>
        <w:rPr>
          <w:rFonts w:hint="eastAsia" w:ascii="宋体" w:hAnsi="宋体"/>
          <w:kern w:val="32"/>
          <w:sz w:val="28"/>
          <w:szCs w:val="28"/>
        </w:rPr>
        <w:t>拟任项目组服务团队人员一览表</w:t>
      </w:r>
    </w:p>
    <w:p>
      <w:pPr>
        <w:spacing w:line="400" w:lineRule="exact"/>
        <w:ind w:firstLine="241" w:firstLineChars="100"/>
        <w:jc w:val="center"/>
        <w:rPr>
          <w:rFonts w:hint="default"/>
          <w:b/>
        </w:rPr>
      </w:pPr>
    </w:p>
    <w:tbl>
      <w:tblPr>
        <w:tblStyle w:val="1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3"/>
        <w:gridCol w:w="658"/>
        <w:gridCol w:w="658"/>
        <w:gridCol w:w="1199"/>
        <w:gridCol w:w="966"/>
        <w:gridCol w:w="1193"/>
        <w:gridCol w:w="1260"/>
        <w:gridCol w:w="71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pPr>
              <w:jc w:val="center"/>
              <w:rPr>
                <w:rFonts w:hint="default"/>
              </w:rPr>
            </w:pPr>
            <w:r>
              <w:t>序号</w:t>
            </w:r>
          </w:p>
        </w:tc>
        <w:tc>
          <w:tcPr>
            <w:tcW w:w="1443" w:type="dxa"/>
            <w:vAlign w:val="center"/>
          </w:tcPr>
          <w:p>
            <w:pPr>
              <w:jc w:val="center"/>
              <w:rPr>
                <w:rFonts w:hint="default"/>
              </w:rPr>
            </w:pPr>
            <w:r>
              <w:t>姓名</w:t>
            </w:r>
          </w:p>
        </w:tc>
        <w:tc>
          <w:tcPr>
            <w:tcW w:w="658" w:type="dxa"/>
            <w:vAlign w:val="center"/>
          </w:tcPr>
          <w:p>
            <w:pPr>
              <w:jc w:val="center"/>
              <w:rPr>
                <w:rFonts w:hint="default"/>
              </w:rPr>
            </w:pPr>
            <w:r>
              <w:t>性别</w:t>
            </w:r>
          </w:p>
        </w:tc>
        <w:tc>
          <w:tcPr>
            <w:tcW w:w="658" w:type="dxa"/>
            <w:vAlign w:val="center"/>
          </w:tcPr>
          <w:p>
            <w:pPr>
              <w:jc w:val="center"/>
              <w:rPr>
                <w:rFonts w:hint="default"/>
              </w:rPr>
            </w:pPr>
            <w:r>
              <w:t>年龄</w:t>
            </w:r>
          </w:p>
        </w:tc>
        <w:tc>
          <w:tcPr>
            <w:tcW w:w="1199" w:type="dxa"/>
            <w:vAlign w:val="center"/>
          </w:tcPr>
          <w:p>
            <w:pPr>
              <w:jc w:val="center"/>
              <w:rPr>
                <w:rFonts w:hint="default"/>
              </w:rPr>
            </w:pPr>
            <w:r>
              <w:t>职称</w:t>
            </w:r>
          </w:p>
        </w:tc>
        <w:tc>
          <w:tcPr>
            <w:tcW w:w="966" w:type="dxa"/>
            <w:vAlign w:val="center"/>
          </w:tcPr>
          <w:p>
            <w:pPr>
              <w:jc w:val="center"/>
              <w:rPr>
                <w:rFonts w:hint="default"/>
              </w:rPr>
            </w:pPr>
            <w:r>
              <w:t>专业</w:t>
            </w:r>
          </w:p>
        </w:tc>
        <w:tc>
          <w:tcPr>
            <w:tcW w:w="1193" w:type="dxa"/>
            <w:vAlign w:val="center"/>
          </w:tcPr>
          <w:p>
            <w:pPr>
              <w:jc w:val="center"/>
              <w:rPr>
                <w:rFonts w:hint="default"/>
              </w:rPr>
            </w:pPr>
            <w:r>
              <w:t>从事工程造价工作时间</w:t>
            </w:r>
          </w:p>
        </w:tc>
        <w:tc>
          <w:tcPr>
            <w:tcW w:w="1260" w:type="dxa"/>
            <w:vAlign w:val="center"/>
          </w:tcPr>
          <w:p>
            <w:pPr>
              <w:jc w:val="center"/>
              <w:rPr>
                <w:rFonts w:hint="default"/>
              </w:rPr>
            </w:pPr>
            <w:r>
              <w:t>资格证书证号</w:t>
            </w:r>
          </w:p>
        </w:tc>
        <w:tc>
          <w:tcPr>
            <w:tcW w:w="710" w:type="dxa"/>
            <w:vAlign w:val="center"/>
          </w:tcPr>
          <w:p>
            <w:pPr>
              <w:jc w:val="center"/>
              <w:rPr>
                <w:rFonts w:hint="default"/>
              </w:rPr>
            </w:pPr>
            <w:r>
              <w:t>拟担任职务</w:t>
            </w:r>
          </w:p>
        </w:tc>
        <w:tc>
          <w:tcPr>
            <w:tcW w:w="678" w:type="dxa"/>
            <w:vAlign w:val="center"/>
          </w:tcPr>
          <w:p>
            <w:pPr>
              <w:jc w:val="center"/>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1</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2</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3</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bl>
    <w:p>
      <w:pPr>
        <w:widowControl/>
        <w:jc w:val="left"/>
        <w:rPr>
          <w:rFonts w:hint="default"/>
          <w:b/>
        </w:rPr>
      </w:pPr>
    </w:p>
    <w:p>
      <w:pPr>
        <w:widowControl/>
        <w:adjustRightInd w:val="0"/>
        <w:snapToGrid w:val="0"/>
        <w:rPr>
          <w:rFonts w:hint="default"/>
          <w:szCs w:val="21"/>
        </w:rPr>
      </w:pPr>
      <w:r>
        <w:rPr>
          <w:szCs w:val="21"/>
        </w:rPr>
        <w:t>注：1、本表若不能反映全部实际情况，除在备注栏说明外，亦可另行制表说明；</w:t>
      </w:r>
    </w:p>
    <w:p>
      <w:pPr>
        <w:adjustRightInd w:val="0"/>
        <w:snapToGrid w:val="0"/>
        <w:ind w:firstLine="470" w:firstLineChars="196"/>
        <w:rPr>
          <w:rFonts w:hint="eastAsia" w:eastAsia="宋体"/>
          <w:szCs w:val="21"/>
          <w:lang w:eastAsia="zh-CN"/>
        </w:rPr>
      </w:pPr>
      <w:r>
        <w:rPr>
          <w:szCs w:val="21"/>
        </w:rPr>
        <w:t>2、根据招标文件相关要求，附相关证明材料，证明材料复印件并加盖投标人单位公章</w:t>
      </w:r>
      <w:r>
        <w:rPr>
          <w:rFonts w:hint="eastAsia"/>
          <w:szCs w:val="21"/>
          <w:lang w:eastAsia="zh-CN"/>
        </w:rPr>
        <w:t>。</w:t>
      </w:r>
    </w:p>
    <w:p>
      <w:pPr>
        <w:adjustRightInd w:val="0"/>
        <w:snapToGrid w:val="0"/>
        <w:ind w:firstLine="470" w:firstLineChars="196"/>
        <w:rPr>
          <w:rFonts w:hint="default"/>
          <w:bCs/>
          <w:szCs w:val="21"/>
        </w:rPr>
      </w:pPr>
    </w:p>
    <w:p>
      <w:pPr>
        <w:spacing w:line="360" w:lineRule="auto"/>
        <w:jc w:val="center"/>
        <w:rPr>
          <w:rFonts w:hint="default"/>
          <w:b/>
        </w:rPr>
      </w:pPr>
    </w:p>
    <w:p>
      <w:pPr>
        <w:spacing w:line="360" w:lineRule="auto"/>
        <w:jc w:val="center"/>
        <w:rPr>
          <w:rFonts w:hint="default"/>
          <w:b/>
        </w:rPr>
      </w:pPr>
    </w:p>
    <w:p>
      <w:pPr>
        <w:spacing w:line="360" w:lineRule="auto"/>
        <w:jc w:val="center"/>
        <w:rPr>
          <w:rFonts w:hint="eastAsia"/>
          <w:b/>
        </w:rPr>
      </w:pPr>
      <w:r>
        <w:rPr>
          <w:rFonts w:hint="eastAsia"/>
          <w:b/>
          <w:lang w:eastAsia="zh-CN"/>
        </w:rPr>
        <w:t>八</w:t>
      </w:r>
      <w:bookmarkEnd w:id="271"/>
      <w:r>
        <w:rPr>
          <w:rFonts w:hint="eastAsia"/>
          <w:b/>
        </w:rPr>
        <w:t>咨询服务方案</w:t>
      </w:r>
    </w:p>
    <w:p>
      <w:pPr>
        <w:widowControl/>
        <w:adjustRightInd w:val="0"/>
        <w:snapToGrid w:val="0"/>
        <w:rPr>
          <w:rFonts w:hint="eastAsia"/>
          <w:szCs w:val="21"/>
        </w:rPr>
      </w:pPr>
      <w:r>
        <w:rPr>
          <w:rFonts w:hint="eastAsia"/>
          <w:szCs w:val="21"/>
        </w:rPr>
        <w:t>投标人须根据招标项目工作范围及本工程特点，结合工程建设法律、法规和湖南省</w:t>
      </w:r>
    </w:p>
    <w:p>
      <w:pPr>
        <w:widowControl/>
        <w:adjustRightInd w:val="0"/>
        <w:snapToGrid w:val="0"/>
        <w:rPr>
          <w:rFonts w:hint="eastAsia"/>
          <w:szCs w:val="21"/>
        </w:rPr>
      </w:pPr>
      <w:r>
        <w:rPr>
          <w:rFonts w:hint="eastAsia"/>
          <w:szCs w:val="21"/>
        </w:rPr>
        <w:t>有关造价政策制定服务方案。方案至少包含下列内容（格式自拟）：</w:t>
      </w:r>
    </w:p>
    <w:p>
      <w:pPr>
        <w:widowControl/>
        <w:adjustRightInd w:val="0"/>
        <w:snapToGrid w:val="0"/>
        <w:rPr>
          <w:rFonts w:hint="eastAsia"/>
          <w:szCs w:val="21"/>
        </w:rPr>
      </w:pPr>
      <w:r>
        <w:rPr>
          <w:rFonts w:hint="eastAsia"/>
          <w:szCs w:val="21"/>
        </w:rPr>
        <w:t>（1）咨询服务目标、范围；</w:t>
      </w:r>
    </w:p>
    <w:p>
      <w:pPr>
        <w:widowControl/>
        <w:adjustRightInd w:val="0"/>
        <w:snapToGrid w:val="0"/>
        <w:rPr>
          <w:rFonts w:hint="eastAsia"/>
          <w:szCs w:val="21"/>
        </w:rPr>
      </w:pPr>
      <w:r>
        <w:rPr>
          <w:rFonts w:hint="eastAsia"/>
          <w:szCs w:val="21"/>
        </w:rPr>
        <w:t>（2）</w:t>
      </w:r>
      <w:r>
        <w:rPr>
          <w:rFonts w:hint="eastAsia" w:cs="Times New Roman"/>
          <w:lang w:val="en-US" w:eastAsia="zh-CN"/>
        </w:rPr>
        <w:t>服务方案</w:t>
      </w:r>
      <w:r>
        <w:rPr>
          <w:rFonts w:hint="eastAsia"/>
          <w:szCs w:val="21"/>
        </w:rPr>
        <w:t>；</w:t>
      </w:r>
    </w:p>
    <w:p>
      <w:pPr>
        <w:widowControl/>
        <w:adjustRightInd w:val="0"/>
        <w:snapToGrid w:val="0"/>
        <w:rPr>
          <w:rFonts w:hint="eastAsia"/>
          <w:szCs w:val="21"/>
        </w:rPr>
      </w:pPr>
      <w:r>
        <w:rPr>
          <w:rFonts w:hint="eastAsia"/>
          <w:szCs w:val="21"/>
        </w:rPr>
        <w:t>（3）</w:t>
      </w:r>
      <w:r>
        <w:rPr>
          <w:rFonts w:hint="eastAsia" w:cs="Times New Roman"/>
          <w:lang w:val="en-US" w:eastAsia="zh-CN"/>
        </w:rPr>
        <w:t>质量进度保证措施</w:t>
      </w:r>
      <w:r>
        <w:rPr>
          <w:rFonts w:hint="eastAsia"/>
          <w:szCs w:val="21"/>
        </w:rPr>
        <w:t>；</w:t>
      </w:r>
    </w:p>
    <w:p>
      <w:pPr>
        <w:widowControl/>
        <w:adjustRightInd w:val="0"/>
        <w:snapToGrid w:val="0"/>
        <w:rPr>
          <w:rFonts w:hint="eastAsia"/>
          <w:szCs w:val="21"/>
        </w:rPr>
      </w:pPr>
      <w:r>
        <w:rPr>
          <w:rFonts w:hint="eastAsia"/>
          <w:szCs w:val="21"/>
        </w:rPr>
        <w:t>（4）</w:t>
      </w:r>
      <w:r>
        <w:rPr>
          <w:rFonts w:hint="eastAsia" w:cs="Times New Roman"/>
          <w:lang w:val="en-US" w:eastAsia="zh-CN"/>
        </w:rPr>
        <w:t>综合服务能力</w:t>
      </w:r>
      <w:r>
        <w:rPr>
          <w:rFonts w:hint="eastAsia"/>
          <w:szCs w:val="21"/>
        </w:rPr>
        <w:t>；</w:t>
      </w:r>
    </w:p>
    <w:p>
      <w:pPr>
        <w:widowControl/>
        <w:adjustRightInd w:val="0"/>
        <w:snapToGrid w:val="0"/>
        <w:rPr>
          <w:rFonts w:hint="eastAsia" w:eastAsia="宋体"/>
          <w:szCs w:val="21"/>
          <w:lang w:eastAsia="zh-CN"/>
        </w:rPr>
      </w:pPr>
      <w:r>
        <w:rPr>
          <w:rFonts w:hint="eastAsia"/>
          <w:szCs w:val="21"/>
        </w:rPr>
        <w:t>（5）</w:t>
      </w:r>
      <w:r>
        <w:rPr>
          <w:rFonts w:hint="eastAsia" w:cs="Times New Roman"/>
          <w:lang w:val="en-US" w:eastAsia="zh-CN"/>
        </w:rPr>
        <w:t>合理化建议</w:t>
      </w:r>
      <w:r>
        <w:rPr>
          <w:rFonts w:hint="eastAsia"/>
          <w:szCs w:val="21"/>
          <w:lang w:eastAsia="zh-CN"/>
        </w:rPr>
        <w:t>。</w:t>
      </w:r>
    </w:p>
    <w:p>
      <w:pPr>
        <w:spacing w:line="440" w:lineRule="exact"/>
        <w:rPr>
          <w:rFonts w:hint="default"/>
          <w:b/>
        </w:rPr>
      </w:pPr>
    </w:p>
    <w:p>
      <w:pPr>
        <w:pStyle w:val="2"/>
        <w:rPr>
          <w:rFonts w:hint="default"/>
          <w:b/>
        </w:rPr>
      </w:pPr>
    </w:p>
    <w:p>
      <w:pPr>
        <w:pStyle w:val="2"/>
        <w:rPr>
          <w:rFonts w:hint="default" w:eastAsia="宋体"/>
          <w:b/>
          <w:lang w:val="en-US" w:eastAsia="zh-CN"/>
        </w:rPr>
      </w:pPr>
      <w:r>
        <w:rPr>
          <w:rFonts w:hint="eastAsia"/>
          <w:b/>
          <w:lang w:val="en-US" w:eastAsia="zh-CN"/>
        </w:rPr>
        <w:t xml:space="preserve">                       九  其他</w:t>
      </w:r>
    </w:p>
    <w:p>
      <w:pPr>
        <w:rPr>
          <w:rFonts w:hint="default"/>
        </w:rPr>
      </w:pPr>
    </w:p>
    <w:p>
      <w:pPr>
        <w:rPr>
          <w:rFonts w:hint="default"/>
        </w:rPr>
      </w:pPr>
    </w:p>
    <w:sectPr>
      <w:pgSz w:w="11906" w:h="16838"/>
      <w:pgMar w:top="1417" w:right="1361" w:bottom="1247" w:left="1361" w:header="907" w:footer="737" w:gutter="0"/>
      <w:pgNumType w:fmt="decimal"/>
      <w:cols w:space="0" w:num="1"/>
      <w:titlePg/>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right"/>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center"/>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pPr>
                            <w:pStyle w:val="10"/>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MmhEuzcCAABjBAAADgAAAAAAAAABACAAAAAgAQAAZHJzL2Uyb0RvYy54&#10;bWxQSwUGAAAAAAYABgBZAQAAyQU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center"/>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pPr>
                            <w:pStyle w:val="10"/>
                            <w:rPr>
                              <w:rFonts w:hint="default"/>
                            </w:rPr>
                          </w:pPr>
                          <w:r>
                            <w:fldChar w:fldCharType="begin"/>
                          </w:r>
                          <w:r>
                            <w:instrText xml:space="preserve"> PAGE  \* MERGEFORMAT </w:instrText>
                          </w:r>
                          <w:r>
                            <w:fldChar w:fldCharType="separate"/>
                          </w:r>
                          <w:r>
                            <w:rPr>
                              <w:rFonts w:hint="default"/>
                            </w:rPr>
                            <w:t>61</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IeRFeDcCAABhBAAADgAAAAAAAAABACAAAAAgAQAAZHJzL2Uyb0RvYy54&#10;bWxQSwUGAAAAAAYABgBZAQAAyQU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rPr>
                        <w:rFonts w:hint="default"/>
                      </w:rPr>
                      <w:t>61</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p>
  <w:p>
    <w:pPr>
      <w:pStyle w:val="11"/>
      <w:pBdr>
        <w:bottom w:val="single" w:color="auto" w:sz="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tted"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0105"/>
    <w:multiLevelType w:val="singleLevel"/>
    <w:tmpl w:val="BD2C0105"/>
    <w:lvl w:ilvl="0" w:tentative="0">
      <w:start w:val="6"/>
      <w:numFmt w:val="chineseCounting"/>
      <w:suff w:val="nothing"/>
      <w:lvlText w:val="%1、"/>
      <w:lvlJc w:val="left"/>
      <w:rPr>
        <w:rFonts w:hint="eastAsia"/>
      </w:rPr>
    </w:lvl>
  </w:abstractNum>
  <w:abstractNum w:abstractNumId="1">
    <w:nsid w:val="BEAB541A"/>
    <w:multiLevelType w:val="singleLevel"/>
    <w:tmpl w:val="BEAB541A"/>
    <w:lvl w:ilvl="0" w:tentative="0">
      <w:start w:val="5"/>
      <w:numFmt w:val="decimal"/>
      <w:suff w:val="nothing"/>
      <w:lvlText w:val="%1、"/>
      <w:lvlJc w:val="left"/>
    </w:lvl>
  </w:abstractNum>
  <w:abstractNum w:abstractNumId="2">
    <w:nsid w:val="CEDC0EEA"/>
    <w:multiLevelType w:val="singleLevel"/>
    <w:tmpl w:val="CEDC0EEA"/>
    <w:lvl w:ilvl="0" w:tentative="0">
      <w:start w:val="1"/>
      <w:numFmt w:val="decimal"/>
      <w:suff w:val="nothing"/>
      <w:lvlText w:val="%1、"/>
      <w:lvlJc w:val="left"/>
    </w:lvl>
  </w:abstractNum>
  <w:abstractNum w:abstractNumId="3">
    <w:nsid w:val="FE6ACCF2"/>
    <w:multiLevelType w:val="singleLevel"/>
    <w:tmpl w:val="FE6ACCF2"/>
    <w:lvl w:ilvl="0" w:tentative="0">
      <w:start w:val="3"/>
      <w:numFmt w:val="chineseCounting"/>
      <w:suff w:val="space"/>
      <w:lvlText w:val="第%1章"/>
      <w:lvlJc w:val="left"/>
      <w:rPr>
        <w:rFonts w:hint="eastAsia"/>
      </w:rPr>
    </w:lvl>
  </w:abstractNum>
  <w:abstractNum w:abstractNumId="4">
    <w:nsid w:val="56AF373A"/>
    <w:multiLevelType w:val="singleLevel"/>
    <w:tmpl w:val="56AF373A"/>
    <w:lvl w:ilvl="0" w:tentative="0">
      <w:start w:val="1"/>
      <w:numFmt w:val="decimal"/>
      <w:suff w:val="nothing"/>
      <w:lvlText w:val="（%1）"/>
      <w:lvlJc w:val="left"/>
    </w:lvl>
  </w:abstractNum>
  <w:abstractNum w:abstractNumId="5">
    <w:nsid w:val="599A58C6"/>
    <w:multiLevelType w:val="singleLevel"/>
    <w:tmpl w:val="599A58C6"/>
    <w:lvl w:ilvl="0" w:tentative="0">
      <w:start w:val="2"/>
      <w:numFmt w:val="decimal"/>
      <w:suff w:val="nothing"/>
      <w:lvlText w:val="%1."/>
      <w:lvlJc w:val="left"/>
    </w:lvl>
  </w:abstractNum>
  <w:abstractNum w:abstractNumId="6">
    <w:nsid w:val="5AC54A1E"/>
    <w:multiLevelType w:val="singleLevel"/>
    <w:tmpl w:val="5AC54A1E"/>
    <w:lvl w:ilvl="0" w:tentative="0">
      <w:start w:val="2"/>
      <w:numFmt w:val="chineseCounting"/>
      <w:suff w:val="space"/>
      <w:lvlText w:val="第%1章"/>
      <w:lvlJc w:val="left"/>
      <w:rPr>
        <w:rFonts w:hint="eastAsia"/>
      </w:rPr>
    </w:lvl>
  </w:abstractNum>
  <w:abstractNum w:abstractNumId="7">
    <w:nsid w:val="79A256B2"/>
    <w:multiLevelType w:val="singleLevel"/>
    <w:tmpl w:val="79A256B2"/>
    <w:lvl w:ilvl="0" w:tentative="0">
      <w:start w:val="1"/>
      <w:numFmt w:val="decimal"/>
      <w:suff w:val="nothing"/>
      <w:lvlText w:val="%1、"/>
      <w:lvlJc w:val="left"/>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2639"/>
    <w:rsid w:val="0001041E"/>
    <w:rsid w:val="00011C2B"/>
    <w:rsid w:val="00015141"/>
    <w:rsid w:val="00053083"/>
    <w:rsid w:val="000605AC"/>
    <w:rsid w:val="00072C65"/>
    <w:rsid w:val="00077036"/>
    <w:rsid w:val="00084414"/>
    <w:rsid w:val="000A2A09"/>
    <w:rsid w:val="000B19CB"/>
    <w:rsid w:val="000B2A4B"/>
    <w:rsid w:val="000C0256"/>
    <w:rsid w:val="000D447D"/>
    <w:rsid w:val="000D45FF"/>
    <w:rsid w:val="000F120D"/>
    <w:rsid w:val="000F352E"/>
    <w:rsid w:val="00105252"/>
    <w:rsid w:val="0011140F"/>
    <w:rsid w:val="001125F4"/>
    <w:rsid w:val="00115928"/>
    <w:rsid w:val="00122974"/>
    <w:rsid w:val="00130354"/>
    <w:rsid w:val="0014161A"/>
    <w:rsid w:val="00171477"/>
    <w:rsid w:val="001840AB"/>
    <w:rsid w:val="0018691D"/>
    <w:rsid w:val="001900D0"/>
    <w:rsid w:val="001912A1"/>
    <w:rsid w:val="001C1A04"/>
    <w:rsid w:val="001C228C"/>
    <w:rsid w:val="001D0F78"/>
    <w:rsid w:val="001D2A68"/>
    <w:rsid w:val="001E0A91"/>
    <w:rsid w:val="001F2141"/>
    <w:rsid w:val="002047C1"/>
    <w:rsid w:val="00206CF8"/>
    <w:rsid w:val="00207DF6"/>
    <w:rsid w:val="00220B8D"/>
    <w:rsid w:val="0022314D"/>
    <w:rsid w:val="0023277C"/>
    <w:rsid w:val="0024242E"/>
    <w:rsid w:val="00250776"/>
    <w:rsid w:val="00251BE6"/>
    <w:rsid w:val="002670D1"/>
    <w:rsid w:val="00272284"/>
    <w:rsid w:val="002753B2"/>
    <w:rsid w:val="00276681"/>
    <w:rsid w:val="002907E8"/>
    <w:rsid w:val="00294511"/>
    <w:rsid w:val="002B5951"/>
    <w:rsid w:val="002D15E1"/>
    <w:rsid w:val="002D6402"/>
    <w:rsid w:val="002E3025"/>
    <w:rsid w:val="0030116D"/>
    <w:rsid w:val="00301FDB"/>
    <w:rsid w:val="00316CEF"/>
    <w:rsid w:val="00325E1C"/>
    <w:rsid w:val="00327100"/>
    <w:rsid w:val="0033747B"/>
    <w:rsid w:val="00337A91"/>
    <w:rsid w:val="00347CFD"/>
    <w:rsid w:val="00353760"/>
    <w:rsid w:val="00354691"/>
    <w:rsid w:val="00361CA6"/>
    <w:rsid w:val="00365ACD"/>
    <w:rsid w:val="0037346D"/>
    <w:rsid w:val="00374A2E"/>
    <w:rsid w:val="003805DE"/>
    <w:rsid w:val="003914BA"/>
    <w:rsid w:val="003949D4"/>
    <w:rsid w:val="00397D8F"/>
    <w:rsid w:val="003B64F8"/>
    <w:rsid w:val="003E08BD"/>
    <w:rsid w:val="00401BB4"/>
    <w:rsid w:val="00413A8B"/>
    <w:rsid w:val="00434FB1"/>
    <w:rsid w:val="0044229C"/>
    <w:rsid w:val="004646F7"/>
    <w:rsid w:val="0047556F"/>
    <w:rsid w:val="0048355B"/>
    <w:rsid w:val="00486E79"/>
    <w:rsid w:val="00486FAB"/>
    <w:rsid w:val="004955A6"/>
    <w:rsid w:val="004A2218"/>
    <w:rsid w:val="004A473D"/>
    <w:rsid w:val="004A6506"/>
    <w:rsid w:val="004B3022"/>
    <w:rsid w:val="004B5421"/>
    <w:rsid w:val="004C223D"/>
    <w:rsid w:val="004C4BD5"/>
    <w:rsid w:val="004C617F"/>
    <w:rsid w:val="004E72D1"/>
    <w:rsid w:val="004F01E7"/>
    <w:rsid w:val="004F36B0"/>
    <w:rsid w:val="00500F9F"/>
    <w:rsid w:val="00504A4E"/>
    <w:rsid w:val="005314E7"/>
    <w:rsid w:val="005326A0"/>
    <w:rsid w:val="00534142"/>
    <w:rsid w:val="00540C24"/>
    <w:rsid w:val="00543F35"/>
    <w:rsid w:val="00565939"/>
    <w:rsid w:val="00590D64"/>
    <w:rsid w:val="00594A87"/>
    <w:rsid w:val="005973D3"/>
    <w:rsid w:val="005A3492"/>
    <w:rsid w:val="005C5A04"/>
    <w:rsid w:val="005F0CB0"/>
    <w:rsid w:val="005F0EAC"/>
    <w:rsid w:val="005F6665"/>
    <w:rsid w:val="00654824"/>
    <w:rsid w:val="0065629D"/>
    <w:rsid w:val="00657189"/>
    <w:rsid w:val="0065756C"/>
    <w:rsid w:val="006715AF"/>
    <w:rsid w:val="006723BF"/>
    <w:rsid w:val="006760B0"/>
    <w:rsid w:val="00677E19"/>
    <w:rsid w:val="006A3359"/>
    <w:rsid w:val="006A58CE"/>
    <w:rsid w:val="006B7B35"/>
    <w:rsid w:val="006E4245"/>
    <w:rsid w:val="006F1367"/>
    <w:rsid w:val="0071393E"/>
    <w:rsid w:val="007178A1"/>
    <w:rsid w:val="00720C3A"/>
    <w:rsid w:val="00721A2A"/>
    <w:rsid w:val="007262F0"/>
    <w:rsid w:val="007364B5"/>
    <w:rsid w:val="007405BD"/>
    <w:rsid w:val="007468AD"/>
    <w:rsid w:val="007633B6"/>
    <w:rsid w:val="00767CCC"/>
    <w:rsid w:val="00770198"/>
    <w:rsid w:val="00770400"/>
    <w:rsid w:val="00771B12"/>
    <w:rsid w:val="007857C4"/>
    <w:rsid w:val="00785967"/>
    <w:rsid w:val="0078620B"/>
    <w:rsid w:val="00797071"/>
    <w:rsid w:val="007A13C9"/>
    <w:rsid w:val="007A7171"/>
    <w:rsid w:val="007C3083"/>
    <w:rsid w:val="007E00EC"/>
    <w:rsid w:val="007E21D8"/>
    <w:rsid w:val="007E3EF8"/>
    <w:rsid w:val="007F0B5D"/>
    <w:rsid w:val="007F6645"/>
    <w:rsid w:val="00803548"/>
    <w:rsid w:val="00805AAC"/>
    <w:rsid w:val="00826031"/>
    <w:rsid w:val="008273D2"/>
    <w:rsid w:val="00827E9F"/>
    <w:rsid w:val="0083055E"/>
    <w:rsid w:val="0083133B"/>
    <w:rsid w:val="00840759"/>
    <w:rsid w:val="00846408"/>
    <w:rsid w:val="008530AA"/>
    <w:rsid w:val="0087649B"/>
    <w:rsid w:val="00877723"/>
    <w:rsid w:val="008926C1"/>
    <w:rsid w:val="00894054"/>
    <w:rsid w:val="008949E3"/>
    <w:rsid w:val="00896B59"/>
    <w:rsid w:val="008B4BD7"/>
    <w:rsid w:val="008D0FBD"/>
    <w:rsid w:val="00905435"/>
    <w:rsid w:val="0091307A"/>
    <w:rsid w:val="00926F6D"/>
    <w:rsid w:val="009340F5"/>
    <w:rsid w:val="00940A82"/>
    <w:rsid w:val="0094463E"/>
    <w:rsid w:val="009712FA"/>
    <w:rsid w:val="00972B0D"/>
    <w:rsid w:val="00976528"/>
    <w:rsid w:val="009A5322"/>
    <w:rsid w:val="009B078D"/>
    <w:rsid w:val="009B1662"/>
    <w:rsid w:val="009B1BB2"/>
    <w:rsid w:val="009B4349"/>
    <w:rsid w:val="009E569E"/>
    <w:rsid w:val="009F3F0F"/>
    <w:rsid w:val="009F6EE7"/>
    <w:rsid w:val="00A22A71"/>
    <w:rsid w:val="00A322E2"/>
    <w:rsid w:val="00A44CD3"/>
    <w:rsid w:val="00A54019"/>
    <w:rsid w:val="00A67E81"/>
    <w:rsid w:val="00A80E1A"/>
    <w:rsid w:val="00A83249"/>
    <w:rsid w:val="00A878FC"/>
    <w:rsid w:val="00AA0196"/>
    <w:rsid w:val="00AB021B"/>
    <w:rsid w:val="00AB2394"/>
    <w:rsid w:val="00AE3526"/>
    <w:rsid w:val="00B00F3B"/>
    <w:rsid w:val="00B10B51"/>
    <w:rsid w:val="00B10CC0"/>
    <w:rsid w:val="00B13835"/>
    <w:rsid w:val="00B14A39"/>
    <w:rsid w:val="00B35C38"/>
    <w:rsid w:val="00B43522"/>
    <w:rsid w:val="00B5384D"/>
    <w:rsid w:val="00B66ABF"/>
    <w:rsid w:val="00B779F6"/>
    <w:rsid w:val="00B83559"/>
    <w:rsid w:val="00B84070"/>
    <w:rsid w:val="00B91174"/>
    <w:rsid w:val="00BA4212"/>
    <w:rsid w:val="00BC0F54"/>
    <w:rsid w:val="00BE4397"/>
    <w:rsid w:val="00BF61C3"/>
    <w:rsid w:val="00C0262F"/>
    <w:rsid w:val="00C04F33"/>
    <w:rsid w:val="00C21916"/>
    <w:rsid w:val="00C30091"/>
    <w:rsid w:val="00C32BC0"/>
    <w:rsid w:val="00C719B5"/>
    <w:rsid w:val="00C73CB8"/>
    <w:rsid w:val="00C8054D"/>
    <w:rsid w:val="00C8458F"/>
    <w:rsid w:val="00C9188C"/>
    <w:rsid w:val="00C97B10"/>
    <w:rsid w:val="00CA2910"/>
    <w:rsid w:val="00CC5753"/>
    <w:rsid w:val="00CC5CFD"/>
    <w:rsid w:val="00D27408"/>
    <w:rsid w:val="00D34224"/>
    <w:rsid w:val="00D4062F"/>
    <w:rsid w:val="00D60A3D"/>
    <w:rsid w:val="00D74ABB"/>
    <w:rsid w:val="00D87937"/>
    <w:rsid w:val="00D90D0F"/>
    <w:rsid w:val="00DB0471"/>
    <w:rsid w:val="00DB3E0D"/>
    <w:rsid w:val="00DC0674"/>
    <w:rsid w:val="00DC7925"/>
    <w:rsid w:val="00DC7DB2"/>
    <w:rsid w:val="00DD0AEB"/>
    <w:rsid w:val="00DD2101"/>
    <w:rsid w:val="00DD7514"/>
    <w:rsid w:val="00DE47D1"/>
    <w:rsid w:val="00DF5299"/>
    <w:rsid w:val="00E00C46"/>
    <w:rsid w:val="00E04594"/>
    <w:rsid w:val="00E11CA1"/>
    <w:rsid w:val="00E239F3"/>
    <w:rsid w:val="00E308AF"/>
    <w:rsid w:val="00E50405"/>
    <w:rsid w:val="00E60DE7"/>
    <w:rsid w:val="00E67826"/>
    <w:rsid w:val="00E81099"/>
    <w:rsid w:val="00E94271"/>
    <w:rsid w:val="00EA72DE"/>
    <w:rsid w:val="00EB530E"/>
    <w:rsid w:val="00ED5805"/>
    <w:rsid w:val="00EE1ED9"/>
    <w:rsid w:val="00F00465"/>
    <w:rsid w:val="00F06D67"/>
    <w:rsid w:val="00F07168"/>
    <w:rsid w:val="00F11D4D"/>
    <w:rsid w:val="00F22E67"/>
    <w:rsid w:val="00F445BF"/>
    <w:rsid w:val="00F467CB"/>
    <w:rsid w:val="00F548C6"/>
    <w:rsid w:val="00F6304C"/>
    <w:rsid w:val="00F72234"/>
    <w:rsid w:val="00F76381"/>
    <w:rsid w:val="00F85BF3"/>
    <w:rsid w:val="00F930D4"/>
    <w:rsid w:val="00F940F1"/>
    <w:rsid w:val="00FD3083"/>
    <w:rsid w:val="00FD6EA1"/>
    <w:rsid w:val="02A3178F"/>
    <w:rsid w:val="02B17954"/>
    <w:rsid w:val="02C577D6"/>
    <w:rsid w:val="02F677F5"/>
    <w:rsid w:val="03405746"/>
    <w:rsid w:val="034B5C89"/>
    <w:rsid w:val="039C4D81"/>
    <w:rsid w:val="03A53D62"/>
    <w:rsid w:val="044C5530"/>
    <w:rsid w:val="05BC50F9"/>
    <w:rsid w:val="07CF228A"/>
    <w:rsid w:val="09915DA0"/>
    <w:rsid w:val="0A081AF1"/>
    <w:rsid w:val="0CA41730"/>
    <w:rsid w:val="0DDA651B"/>
    <w:rsid w:val="0E81472F"/>
    <w:rsid w:val="0F157BDD"/>
    <w:rsid w:val="0F7A3DE3"/>
    <w:rsid w:val="100D016E"/>
    <w:rsid w:val="11202FDB"/>
    <w:rsid w:val="113917C7"/>
    <w:rsid w:val="12E62BC9"/>
    <w:rsid w:val="147668AA"/>
    <w:rsid w:val="17CA18B3"/>
    <w:rsid w:val="198D5E46"/>
    <w:rsid w:val="1D1C1A32"/>
    <w:rsid w:val="1ECF4788"/>
    <w:rsid w:val="1FC12FE6"/>
    <w:rsid w:val="20902E02"/>
    <w:rsid w:val="21412612"/>
    <w:rsid w:val="21C76503"/>
    <w:rsid w:val="228F5788"/>
    <w:rsid w:val="22FE2639"/>
    <w:rsid w:val="237821A0"/>
    <w:rsid w:val="24C431FD"/>
    <w:rsid w:val="24CE24F7"/>
    <w:rsid w:val="27346FA2"/>
    <w:rsid w:val="273C3301"/>
    <w:rsid w:val="27F01D5B"/>
    <w:rsid w:val="284F1EBC"/>
    <w:rsid w:val="2FBF46F2"/>
    <w:rsid w:val="30197A30"/>
    <w:rsid w:val="31BC1499"/>
    <w:rsid w:val="330E7DBC"/>
    <w:rsid w:val="338D31CD"/>
    <w:rsid w:val="345F58EA"/>
    <w:rsid w:val="373011D2"/>
    <w:rsid w:val="394F5F22"/>
    <w:rsid w:val="3A7C6FDF"/>
    <w:rsid w:val="3A9303D9"/>
    <w:rsid w:val="3B5A49B2"/>
    <w:rsid w:val="3F4777C4"/>
    <w:rsid w:val="3FEE1B08"/>
    <w:rsid w:val="41236D84"/>
    <w:rsid w:val="4178576E"/>
    <w:rsid w:val="41A76D5F"/>
    <w:rsid w:val="425E7CF3"/>
    <w:rsid w:val="42DE157A"/>
    <w:rsid w:val="44996953"/>
    <w:rsid w:val="44A839DF"/>
    <w:rsid w:val="44BB33F9"/>
    <w:rsid w:val="45A61FA4"/>
    <w:rsid w:val="45C8494A"/>
    <w:rsid w:val="464747BD"/>
    <w:rsid w:val="470D5466"/>
    <w:rsid w:val="472F1A49"/>
    <w:rsid w:val="48553960"/>
    <w:rsid w:val="485A6533"/>
    <w:rsid w:val="49012B93"/>
    <w:rsid w:val="4B4B4F66"/>
    <w:rsid w:val="4C7E50F5"/>
    <w:rsid w:val="4CE1062C"/>
    <w:rsid w:val="4E6807AE"/>
    <w:rsid w:val="50BC73FB"/>
    <w:rsid w:val="50D218FB"/>
    <w:rsid w:val="515E5437"/>
    <w:rsid w:val="51AA31D5"/>
    <w:rsid w:val="54BD094A"/>
    <w:rsid w:val="55FC64DA"/>
    <w:rsid w:val="560537FA"/>
    <w:rsid w:val="56FE667F"/>
    <w:rsid w:val="57183435"/>
    <w:rsid w:val="57E10AF6"/>
    <w:rsid w:val="59DB12A2"/>
    <w:rsid w:val="5A0A1E2A"/>
    <w:rsid w:val="5A4267DD"/>
    <w:rsid w:val="5B494EAE"/>
    <w:rsid w:val="5B4F3158"/>
    <w:rsid w:val="5B720609"/>
    <w:rsid w:val="5BFD434D"/>
    <w:rsid w:val="5C3B3F10"/>
    <w:rsid w:val="5CFC0409"/>
    <w:rsid w:val="5D795541"/>
    <w:rsid w:val="5F284FCC"/>
    <w:rsid w:val="617479DD"/>
    <w:rsid w:val="617D2DC8"/>
    <w:rsid w:val="6196053F"/>
    <w:rsid w:val="631D2177"/>
    <w:rsid w:val="64F16E7F"/>
    <w:rsid w:val="66B26452"/>
    <w:rsid w:val="67277E99"/>
    <w:rsid w:val="68167CBC"/>
    <w:rsid w:val="69D17820"/>
    <w:rsid w:val="6AED6B89"/>
    <w:rsid w:val="6C2B17BD"/>
    <w:rsid w:val="6D3337AF"/>
    <w:rsid w:val="6F8472A6"/>
    <w:rsid w:val="70E85E5F"/>
    <w:rsid w:val="712873EA"/>
    <w:rsid w:val="71A31E47"/>
    <w:rsid w:val="72263661"/>
    <w:rsid w:val="73586DC2"/>
    <w:rsid w:val="73777E65"/>
    <w:rsid w:val="78355CE9"/>
    <w:rsid w:val="7A2A6FD9"/>
    <w:rsid w:val="7ADC6997"/>
    <w:rsid w:val="7F76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宋体" w:eastAsia="宋体" w:cs="Times New Roman"/>
      <w:kern w:val="2"/>
      <w:sz w:val="24"/>
      <w:szCs w:val="22"/>
      <w:lang w:val="en-US" w:eastAsia="zh-CN" w:bidi="ar-SA"/>
    </w:rPr>
  </w:style>
  <w:style w:type="paragraph" w:styleId="4">
    <w:name w:val="heading 1"/>
    <w:basedOn w:val="1"/>
    <w:next w:val="1"/>
    <w:qFormat/>
    <w:uiPriority w:val="0"/>
    <w:pPr>
      <w:keepNext/>
      <w:keepLines/>
      <w:spacing w:line="360" w:lineRule="auto"/>
      <w:jc w:val="center"/>
      <w:outlineLvl w:val="0"/>
    </w:pPr>
    <w:rPr>
      <w:rFonts w:hint="default" w:ascii="黑体" w:eastAsia="黑体"/>
      <w:kern w:val="44"/>
      <w:sz w:val="52"/>
    </w:rPr>
  </w:style>
  <w:style w:type="paragraph" w:styleId="5">
    <w:name w:val="heading 2"/>
    <w:basedOn w:val="1"/>
    <w:next w:val="1"/>
    <w:link w:val="31"/>
    <w:unhideWhenUsed/>
    <w:qFormat/>
    <w:uiPriority w:val="0"/>
    <w:pPr>
      <w:spacing w:line="360" w:lineRule="auto"/>
      <w:outlineLvl w:val="1"/>
    </w:pPr>
    <w:rPr>
      <w:rFonts w:hint="default" w:ascii="黑体" w:hAnsi="Arial" w:eastAsia="黑体"/>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宋体" w:hAnsi="宋体"/>
    </w:rPr>
  </w:style>
  <w:style w:type="paragraph" w:styleId="3">
    <w:name w:val="Body Text Indent"/>
    <w:basedOn w:val="1"/>
    <w:qFormat/>
    <w:uiPriority w:val="0"/>
    <w:pPr>
      <w:spacing w:line="360" w:lineRule="auto"/>
      <w:ind w:firstLine="480" w:firstLineChars="200"/>
    </w:pPr>
    <w:rPr>
      <w:rFonts w:hint="default"/>
    </w:rPr>
  </w:style>
  <w:style w:type="paragraph" w:styleId="6">
    <w:name w:val="Body Text"/>
    <w:basedOn w:val="1"/>
    <w:link w:val="70"/>
    <w:qFormat/>
    <w:uiPriority w:val="0"/>
    <w:pPr>
      <w:spacing w:after="120"/>
    </w:pPr>
  </w:style>
  <w:style w:type="paragraph" w:styleId="7">
    <w:name w:val="Plain Text"/>
    <w:basedOn w:val="1"/>
    <w:qFormat/>
    <w:uiPriority w:val="0"/>
    <w:rPr>
      <w:rFonts w:hint="default" w:hAnsi="Courier New"/>
      <w:sz w:val="21"/>
    </w:rPr>
  </w:style>
  <w:style w:type="paragraph" w:styleId="8">
    <w:name w:val="Date"/>
    <w:basedOn w:val="1"/>
    <w:next w:val="1"/>
    <w:qFormat/>
    <w:uiPriority w:val="0"/>
    <w:pPr>
      <w:ind w:left="100" w:leftChars="2500"/>
    </w:pPr>
    <w:rPr>
      <w:rFonts w:hint="default" w:ascii="Times New Roman" w:hAnsi="Times New Roman"/>
      <w:kern w:val="0"/>
    </w:rPr>
  </w:style>
  <w:style w:type="paragraph" w:styleId="9">
    <w:name w:val="Balloon Text"/>
    <w:basedOn w:val="1"/>
    <w:link w:val="6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hint="default"/>
      <w:sz w:val="18"/>
    </w:rPr>
  </w:style>
  <w:style w:type="paragraph" w:styleId="12">
    <w:name w:val="toc 1"/>
    <w:basedOn w:val="1"/>
    <w:next w:val="1"/>
    <w:qFormat/>
    <w:uiPriority w:val="0"/>
    <w:pPr>
      <w:spacing w:before="120" w:after="120"/>
      <w:jc w:val="left"/>
    </w:pPr>
    <w:rPr>
      <w:rFonts w:ascii="Times New Roman" w:hAnsi="Times New Roman"/>
      <w:b/>
      <w:caps/>
      <w:sz w:val="20"/>
    </w:rPr>
  </w:style>
  <w:style w:type="paragraph" w:styleId="13">
    <w:name w:val="Subtitle"/>
    <w:basedOn w:val="1"/>
    <w:next w:val="1"/>
    <w:link w:val="65"/>
    <w:qFormat/>
    <w:uiPriority w:val="0"/>
    <w:pPr>
      <w:spacing w:before="240" w:after="60" w:line="312" w:lineRule="auto"/>
      <w:jc w:val="center"/>
      <w:outlineLvl w:val="1"/>
    </w:pPr>
    <w:rPr>
      <w:rFonts w:ascii="Calibri Light" w:hAnsi="Calibri Light"/>
      <w:b/>
      <w:bCs/>
      <w:kern w:val="28"/>
      <w:sz w:val="32"/>
      <w:szCs w:val="32"/>
    </w:rPr>
  </w:style>
  <w:style w:type="paragraph" w:styleId="14">
    <w:name w:val="Body Text Indent 3"/>
    <w:basedOn w:val="1"/>
    <w:qFormat/>
    <w:uiPriority w:val="0"/>
    <w:pPr>
      <w:spacing w:after="120"/>
      <w:ind w:left="420" w:leftChars="200"/>
    </w:pPr>
    <w:rPr>
      <w:rFonts w:hint="default" w:ascii="Times New Roman" w:hAnsi="Times New Roman"/>
      <w:sz w:val="16"/>
    </w:rPr>
  </w:style>
  <w:style w:type="paragraph" w:styleId="15">
    <w:name w:val="Body Text 2"/>
    <w:basedOn w:val="1"/>
    <w:link w:val="73"/>
    <w:qFormat/>
    <w:uiPriority w:val="0"/>
    <w:pPr>
      <w:autoSpaceDE w:val="0"/>
      <w:autoSpaceDN w:val="0"/>
      <w:spacing w:after="120" w:line="480" w:lineRule="auto"/>
      <w:jc w:val="left"/>
    </w:pPr>
    <w:rPr>
      <w:rFonts w:hint="default" w:ascii="Times New Roman" w:hAnsi="Times New Roman" w:cs="宋体"/>
      <w:kern w:val="0"/>
      <w:szCs w:val="24"/>
    </w:rPr>
  </w:style>
  <w:style w:type="paragraph" w:styleId="16">
    <w:name w:val="Normal (Web)"/>
    <w:basedOn w:val="1"/>
    <w:qFormat/>
    <w:uiPriority w:val="0"/>
    <w:pPr>
      <w:widowControl/>
      <w:spacing w:before="100" w:beforeAutospacing="1" w:after="100" w:afterAutospacing="1"/>
      <w:jc w:val="left"/>
    </w:pPr>
    <w:rPr>
      <w:rFonts w:hint="default" w:ascii="Times New Roman" w:hAnsi="Times New Roman"/>
      <w:kern w:val="0"/>
    </w:rPr>
  </w:style>
  <w:style w:type="paragraph" w:styleId="17">
    <w:name w:val="Title"/>
    <w:basedOn w:val="1"/>
    <w:next w:val="1"/>
    <w:link w:val="64"/>
    <w:qFormat/>
    <w:uiPriority w:val="0"/>
    <w:pPr>
      <w:spacing w:before="60" w:after="60"/>
      <w:jc w:val="center"/>
      <w:outlineLvl w:val="0"/>
    </w:pPr>
    <w:rPr>
      <w:rFonts w:ascii="Cambria" w:hAnsi="Cambria"/>
      <w:b/>
      <w:bCs/>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仿宋_GB2312" w:eastAsia="仿宋_GB2312"/>
      <w:kern w:val="0"/>
      <w:sz w:val="24"/>
      <w:szCs w:val="20"/>
    </w:rPr>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ode"/>
    <w:basedOn w:val="20"/>
    <w:qFormat/>
    <w:uiPriority w:val="0"/>
    <w:rPr>
      <w:rFonts w:ascii="Courier New" w:hAnsi="Courier New"/>
      <w:sz w:val="20"/>
    </w:rPr>
  </w:style>
  <w:style w:type="character" w:styleId="28">
    <w:name w:val="annotation reference"/>
    <w:qFormat/>
    <w:uiPriority w:val="0"/>
    <w:rPr>
      <w:sz w:val="21"/>
      <w:szCs w:val="21"/>
    </w:rPr>
  </w:style>
  <w:style w:type="character" w:styleId="29">
    <w:name w:val="HTML Cite"/>
    <w:basedOn w:val="20"/>
    <w:qFormat/>
    <w:uiPriority w:val="0"/>
  </w:style>
  <w:style w:type="paragraph" w:customStyle="1" w:styleId="30">
    <w:name w:val="p0"/>
    <w:basedOn w:val="1"/>
    <w:qFormat/>
    <w:uiPriority w:val="0"/>
    <w:pPr>
      <w:widowControl/>
    </w:pPr>
    <w:rPr>
      <w:rFonts w:hint="default" w:ascii="Times New Roman" w:hAnsi="Times New Roman"/>
      <w:sz w:val="21"/>
      <w:szCs w:val="21"/>
    </w:rPr>
  </w:style>
  <w:style w:type="character" w:customStyle="1" w:styleId="31">
    <w:name w:val="标题 2 Char"/>
    <w:link w:val="5"/>
    <w:qFormat/>
    <w:uiPriority w:val="0"/>
    <w:rPr>
      <w:rFonts w:hint="default" w:ascii="黑体" w:hAnsi="Arial" w:eastAsia="黑体"/>
      <w:sz w:val="30"/>
    </w:rPr>
  </w:style>
  <w:style w:type="paragraph" w:customStyle="1" w:styleId="32">
    <w:name w:val="Style15"/>
    <w:basedOn w:val="1"/>
    <w:unhideWhenUsed/>
    <w:qFormat/>
    <w:uiPriority w:val="99"/>
    <w:pPr>
      <w:spacing w:line="466" w:lineRule="exact"/>
      <w:ind w:firstLine="490"/>
    </w:pPr>
    <w:rPr>
      <w:rFonts w:hint="default"/>
    </w:rPr>
  </w:style>
  <w:style w:type="character" w:customStyle="1" w:styleId="33">
    <w:name w:val="Font Style63"/>
    <w:unhideWhenUsed/>
    <w:qFormat/>
    <w:uiPriority w:val="99"/>
    <w:rPr>
      <w:rFonts w:hint="eastAsia" w:ascii="宋体" w:hAnsi="宋体" w:eastAsia="宋体"/>
      <w:b/>
      <w:smallCaps/>
      <w:kern w:val="0"/>
      <w:sz w:val="22"/>
      <w:szCs w:val="20"/>
    </w:rPr>
  </w:style>
  <w:style w:type="character" w:customStyle="1" w:styleId="34">
    <w:name w:val="Font Style47"/>
    <w:unhideWhenUsed/>
    <w:qFormat/>
    <w:uiPriority w:val="99"/>
    <w:rPr>
      <w:rFonts w:hint="eastAsia" w:ascii="宋体" w:hAnsi="宋体" w:eastAsia="宋体"/>
      <w:kern w:val="0"/>
      <w:sz w:val="22"/>
      <w:szCs w:val="20"/>
    </w:rPr>
  </w:style>
  <w:style w:type="paragraph" w:customStyle="1" w:styleId="35">
    <w:name w:val="Style30"/>
    <w:basedOn w:val="1"/>
    <w:unhideWhenUsed/>
    <w:qFormat/>
    <w:uiPriority w:val="99"/>
    <w:pPr>
      <w:spacing w:line="485" w:lineRule="exact"/>
      <w:ind w:firstLine="470"/>
    </w:pPr>
    <w:rPr>
      <w:rFonts w:hint="default"/>
    </w:rPr>
  </w:style>
  <w:style w:type="paragraph" w:customStyle="1" w:styleId="36">
    <w:name w:val="Style13"/>
    <w:basedOn w:val="1"/>
    <w:unhideWhenUsed/>
    <w:qFormat/>
    <w:uiPriority w:val="99"/>
    <w:rPr>
      <w:rFonts w:hint="default"/>
    </w:rPr>
  </w:style>
  <w:style w:type="paragraph" w:customStyle="1" w:styleId="37">
    <w:name w:val="Style22"/>
    <w:basedOn w:val="1"/>
    <w:unhideWhenUsed/>
    <w:qFormat/>
    <w:uiPriority w:val="99"/>
    <w:rPr>
      <w:rFonts w:hint="default"/>
    </w:rPr>
  </w:style>
  <w:style w:type="paragraph" w:customStyle="1" w:styleId="38">
    <w:name w:val="Style32"/>
    <w:basedOn w:val="1"/>
    <w:unhideWhenUsed/>
    <w:qFormat/>
    <w:uiPriority w:val="99"/>
    <w:rPr>
      <w:rFonts w:hint="default"/>
    </w:rPr>
  </w:style>
  <w:style w:type="paragraph" w:customStyle="1" w:styleId="39">
    <w:name w:val="Style26"/>
    <w:basedOn w:val="1"/>
    <w:unhideWhenUsed/>
    <w:qFormat/>
    <w:uiPriority w:val="99"/>
    <w:rPr>
      <w:rFonts w:hint="default"/>
    </w:rPr>
  </w:style>
  <w:style w:type="paragraph" w:customStyle="1" w:styleId="40">
    <w:name w:val="Style18"/>
    <w:basedOn w:val="1"/>
    <w:unhideWhenUsed/>
    <w:qFormat/>
    <w:uiPriority w:val="99"/>
    <w:pPr>
      <w:spacing w:line="480" w:lineRule="exact"/>
      <w:ind w:firstLine="480"/>
    </w:pPr>
    <w:rPr>
      <w:rFonts w:hint="default"/>
    </w:rPr>
  </w:style>
  <w:style w:type="paragraph" w:customStyle="1" w:styleId="41">
    <w:name w:val="Style27"/>
    <w:basedOn w:val="1"/>
    <w:unhideWhenUsed/>
    <w:qFormat/>
    <w:uiPriority w:val="99"/>
    <w:rPr>
      <w:rFonts w:hint="default"/>
    </w:rPr>
  </w:style>
  <w:style w:type="character" w:customStyle="1" w:styleId="42">
    <w:name w:val="Font Style62"/>
    <w:unhideWhenUsed/>
    <w:qFormat/>
    <w:uiPriority w:val="99"/>
    <w:rPr>
      <w:rFonts w:hint="eastAsia" w:ascii="宋体" w:hAnsi="宋体" w:eastAsia="宋体"/>
      <w:b/>
      <w:kern w:val="0"/>
      <w:sz w:val="12"/>
      <w:szCs w:val="20"/>
    </w:rPr>
  </w:style>
  <w:style w:type="paragraph" w:customStyle="1" w:styleId="43">
    <w:name w:val="Style29"/>
    <w:basedOn w:val="1"/>
    <w:unhideWhenUsed/>
    <w:qFormat/>
    <w:uiPriority w:val="99"/>
    <w:pPr>
      <w:spacing w:line="466" w:lineRule="exact"/>
      <w:ind w:firstLine="600"/>
    </w:pPr>
    <w:rPr>
      <w:rFonts w:hint="default"/>
    </w:rPr>
  </w:style>
  <w:style w:type="paragraph" w:customStyle="1" w:styleId="44">
    <w:name w:val="Style16"/>
    <w:basedOn w:val="1"/>
    <w:unhideWhenUsed/>
    <w:qFormat/>
    <w:uiPriority w:val="99"/>
    <w:pPr>
      <w:spacing w:line="473" w:lineRule="exact"/>
      <w:jc w:val="right"/>
    </w:pPr>
    <w:rPr>
      <w:rFonts w:hint="default"/>
    </w:rPr>
  </w:style>
  <w:style w:type="character" w:customStyle="1" w:styleId="45">
    <w:name w:val="Font Style53"/>
    <w:unhideWhenUsed/>
    <w:qFormat/>
    <w:uiPriority w:val="99"/>
    <w:rPr>
      <w:rFonts w:hint="eastAsia" w:ascii="宋体" w:hAnsi="宋体" w:eastAsia="宋体"/>
      <w:b/>
      <w:spacing w:val="30"/>
      <w:kern w:val="0"/>
      <w:sz w:val="20"/>
      <w:szCs w:val="20"/>
    </w:rPr>
  </w:style>
  <w:style w:type="character" w:customStyle="1" w:styleId="46">
    <w:name w:val="Font Style60"/>
    <w:unhideWhenUsed/>
    <w:qFormat/>
    <w:uiPriority w:val="99"/>
    <w:rPr>
      <w:rFonts w:hint="eastAsia" w:ascii="MingLiU" w:hAnsi="MingLiU" w:eastAsia="MingLiU"/>
      <w:b/>
      <w:spacing w:val="-20"/>
      <w:w w:val="150"/>
      <w:kern w:val="0"/>
      <w:sz w:val="16"/>
      <w:szCs w:val="20"/>
    </w:rPr>
  </w:style>
  <w:style w:type="character" w:customStyle="1" w:styleId="47">
    <w:name w:val="Font Style55"/>
    <w:unhideWhenUsed/>
    <w:qFormat/>
    <w:uiPriority w:val="99"/>
    <w:rPr>
      <w:rFonts w:hint="eastAsia" w:ascii="MingLiU" w:hAnsi="MingLiU" w:eastAsia="MingLiU"/>
      <w:b/>
      <w:kern w:val="0"/>
      <w:sz w:val="24"/>
      <w:szCs w:val="20"/>
    </w:rPr>
  </w:style>
  <w:style w:type="character" w:customStyle="1" w:styleId="48">
    <w:name w:val="Font Style57"/>
    <w:unhideWhenUsed/>
    <w:qFormat/>
    <w:uiPriority w:val="99"/>
    <w:rPr>
      <w:rFonts w:hint="eastAsia" w:ascii="宋体" w:hAnsi="宋体" w:eastAsia="宋体"/>
      <w:b/>
      <w:kern w:val="0"/>
      <w:sz w:val="22"/>
      <w:szCs w:val="20"/>
    </w:rPr>
  </w:style>
  <w:style w:type="paragraph" w:customStyle="1" w:styleId="49">
    <w:name w:val="Style20"/>
    <w:basedOn w:val="1"/>
    <w:unhideWhenUsed/>
    <w:qFormat/>
    <w:uiPriority w:val="99"/>
    <w:rPr>
      <w:rFonts w:hint="default"/>
    </w:rPr>
  </w:style>
  <w:style w:type="paragraph" w:customStyle="1" w:styleId="50">
    <w:name w:val="Style23"/>
    <w:basedOn w:val="1"/>
    <w:unhideWhenUsed/>
    <w:qFormat/>
    <w:uiPriority w:val="99"/>
    <w:rPr>
      <w:rFonts w:hint="default"/>
    </w:rPr>
  </w:style>
  <w:style w:type="character" w:customStyle="1" w:styleId="51">
    <w:name w:val="Font Style58"/>
    <w:unhideWhenUsed/>
    <w:qFormat/>
    <w:uiPriority w:val="99"/>
    <w:rPr>
      <w:rFonts w:hint="eastAsia" w:ascii="宋体" w:hAnsi="宋体" w:eastAsia="宋体"/>
      <w:b/>
      <w:kern w:val="0"/>
      <w:sz w:val="24"/>
      <w:szCs w:val="20"/>
    </w:rPr>
  </w:style>
  <w:style w:type="character" w:customStyle="1" w:styleId="52">
    <w:name w:val="Font Style61"/>
    <w:unhideWhenUsed/>
    <w:qFormat/>
    <w:uiPriority w:val="99"/>
    <w:rPr>
      <w:rFonts w:hint="eastAsia" w:ascii="宋体" w:hAnsi="宋体" w:eastAsia="宋体"/>
      <w:kern w:val="0"/>
      <w:sz w:val="24"/>
      <w:szCs w:val="20"/>
    </w:rPr>
  </w:style>
  <w:style w:type="character" w:customStyle="1" w:styleId="53">
    <w:name w:val="Font Style39"/>
    <w:unhideWhenUsed/>
    <w:qFormat/>
    <w:uiPriority w:val="99"/>
    <w:rPr>
      <w:rFonts w:hint="eastAsia" w:ascii="MingLiU" w:hAnsi="MingLiU" w:eastAsia="MingLiU"/>
      <w:b/>
      <w:kern w:val="0"/>
      <w:sz w:val="28"/>
      <w:szCs w:val="20"/>
    </w:rPr>
  </w:style>
  <w:style w:type="paragraph" w:customStyle="1" w:styleId="54">
    <w:name w:val="样式1"/>
    <w:next w:val="1"/>
    <w:qFormat/>
    <w:uiPriority w:val="0"/>
    <w:rPr>
      <w:rFonts w:ascii="宋体" w:hAnsi="宋体" w:eastAsia="宋体" w:cs="Times New Roman"/>
      <w:color w:val="000000"/>
      <w:kern w:val="2"/>
      <w:sz w:val="21"/>
      <w:szCs w:val="22"/>
      <w:lang w:val="en-US" w:eastAsia="zh-CN" w:bidi="ar-SA"/>
    </w:rPr>
  </w:style>
  <w:style w:type="paragraph" w:customStyle="1" w:styleId="55">
    <w:name w:val="表格"/>
    <w:basedOn w:val="1"/>
    <w:qFormat/>
    <w:uiPriority w:val="0"/>
    <w:pPr>
      <w:jc w:val="center"/>
      <w:textAlignment w:val="center"/>
    </w:pPr>
    <w:rPr>
      <w:rFonts w:hint="default" w:ascii="华文细黑" w:hAnsi="华文细黑"/>
      <w:kern w:val="0"/>
      <w:sz w:val="21"/>
    </w:rPr>
  </w:style>
  <w:style w:type="character" w:customStyle="1" w:styleId="56">
    <w:name w:val="ca-161"/>
    <w:qFormat/>
    <w:uiPriority w:val="0"/>
    <w:rPr>
      <w:rFonts w:hint="eastAsia" w:ascii="宋体" w:hAnsi="宋体" w:eastAsia="宋体"/>
      <w:color w:val="000000"/>
      <w:sz w:val="24"/>
      <w:szCs w:val="24"/>
    </w:rPr>
  </w:style>
  <w:style w:type="paragraph" w:customStyle="1" w:styleId="57">
    <w:name w:val="Style28"/>
    <w:basedOn w:val="1"/>
    <w:unhideWhenUsed/>
    <w:qFormat/>
    <w:uiPriority w:val="99"/>
    <w:rPr>
      <w:rFonts w:hint="default"/>
    </w:rPr>
  </w:style>
  <w:style w:type="character" w:customStyle="1" w:styleId="58">
    <w:name w:val="Font Style56"/>
    <w:unhideWhenUsed/>
    <w:qFormat/>
    <w:uiPriority w:val="99"/>
    <w:rPr>
      <w:rFonts w:hint="eastAsia" w:ascii="宋体" w:hAnsi="宋体" w:eastAsia="宋体"/>
      <w:b/>
      <w:kern w:val="0"/>
      <w:sz w:val="16"/>
      <w:szCs w:val="20"/>
    </w:rPr>
  </w:style>
  <w:style w:type="paragraph" w:customStyle="1" w:styleId="59">
    <w:name w:val="正文 A"/>
    <w:qFormat/>
    <w:uiPriority w:val="0"/>
    <w:rPr>
      <w:rFonts w:ascii="Calibri" w:hAnsi="Calibri" w:eastAsia="Calibri" w:cs="Calibri"/>
      <w:color w:val="000000"/>
      <w:sz w:val="24"/>
      <w:szCs w:val="24"/>
      <w:u w:color="000000"/>
      <w:lang w:val="en-US" w:eastAsia="zh-CN" w:bidi="ar-SA"/>
    </w:rPr>
  </w:style>
  <w:style w:type="character" w:customStyle="1" w:styleId="60">
    <w:name w:val="ca-201"/>
    <w:qFormat/>
    <w:uiPriority w:val="0"/>
    <w:rPr>
      <w:rFonts w:hint="eastAsia" w:ascii="宋体" w:hAnsi="宋体" w:eastAsia="宋体"/>
      <w:color w:val="000000"/>
      <w:sz w:val="21"/>
      <w:szCs w:val="21"/>
    </w:rPr>
  </w:style>
  <w:style w:type="character" w:customStyle="1" w:styleId="61">
    <w:name w:val="ca-211"/>
    <w:qFormat/>
    <w:uiPriority w:val="0"/>
    <w:rPr>
      <w:rFonts w:hint="default" w:ascii="Times New Roman" w:hAnsi="Times New Roman" w:cs="Times New Roman"/>
      <w:color w:val="000000"/>
      <w:sz w:val="21"/>
      <w:szCs w:val="21"/>
    </w:rPr>
  </w:style>
  <w:style w:type="paragraph" w:customStyle="1" w:styleId="62">
    <w:name w:val="_Style 3"/>
    <w:basedOn w:val="4"/>
    <w:next w:val="1"/>
    <w:qFormat/>
    <w:uiPriority w:val="0"/>
    <w:pPr>
      <w:spacing w:line="576" w:lineRule="auto"/>
      <w:jc w:val="both"/>
      <w:outlineLvl w:val="9"/>
    </w:pPr>
    <w:rPr>
      <w:rFonts w:ascii="Calibri" w:hAnsi="Calibri"/>
    </w:rPr>
  </w:style>
  <w:style w:type="character" w:customStyle="1" w:styleId="63">
    <w:name w:val="15"/>
    <w:qFormat/>
    <w:uiPriority w:val="0"/>
    <w:rPr>
      <w:rFonts w:hint="default" w:ascii="Times New Roman" w:hAnsi="Times New Roman" w:cs="Times New Roman"/>
      <w:color w:val="464445"/>
      <w:u w:val="none"/>
    </w:rPr>
  </w:style>
  <w:style w:type="character" w:customStyle="1" w:styleId="64">
    <w:name w:val="标题 Char"/>
    <w:link w:val="17"/>
    <w:qFormat/>
    <w:uiPriority w:val="10"/>
    <w:rPr>
      <w:rFonts w:ascii="Cambria" w:hAnsi="Cambria" w:cs="Times New Roman"/>
      <w:b/>
      <w:bCs/>
      <w:szCs w:val="32"/>
    </w:rPr>
  </w:style>
  <w:style w:type="character" w:customStyle="1" w:styleId="65">
    <w:name w:val="副标题 Char"/>
    <w:link w:val="13"/>
    <w:qFormat/>
    <w:uiPriority w:val="11"/>
    <w:rPr>
      <w:rFonts w:ascii="Calibri Light" w:hAnsi="Calibri Light" w:cs="Times New Roman"/>
      <w:b/>
      <w:bCs/>
      <w:kern w:val="28"/>
      <w:sz w:val="32"/>
      <w:szCs w:val="32"/>
    </w:rPr>
  </w:style>
  <w:style w:type="paragraph" w:customStyle="1" w:styleId="66">
    <w:name w:val="普通(网站)1"/>
    <w:basedOn w:val="1"/>
    <w:qFormat/>
    <w:uiPriority w:val="0"/>
    <w:pPr>
      <w:widowControl/>
      <w:spacing w:before="100" w:beforeAutospacing="1" w:after="100" w:afterAutospacing="1"/>
      <w:jc w:val="left"/>
    </w:pPr>
    <w:rPr>
      <w:rFonts w:cs="宋体"/>
      <w:kern w:val="0"/>
      <w:szCs w:val="24"/>
    </w:rPr>
  </w:style>
  <w:style w:type="character" w:customStyle="1" w:styleId="67">
    <w:name w:val="批注框文本 Char"/>
    <w:basedOn w:val="20"/>
    <w:link w:val="9"/>
    <w:qFormat/>
    <w:uiPriority w:val="0"/>
    <w:rPr>
      <w:rFonts w:ascii="宋体" w:hAnsi="宋体"/>
      <w:kern w:val="2"/>
      <w:sz w:val="18"/>
      <w:szCs w:val="18"/>
    </w:rPr>
  </w:style>
  <w:style w:type="table" w:customStyle="1" w:styleId="6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9">
    <w:name w:val="Table Paragraph"/>
    <w:basedOn w:val="1"/>
    <w:qFormat/>
    <w:uiPriority w:val="1"/>
    <w:pPr>
      <w:autoSpaceDE w:val="0"/>
      <w:autoSpaceDN w:val="0"/>
      <w:jc w:val="left"/>
    </w:pPr>
    <w:rPr>
      <w:rFonts w:hint="default" w:cs="宋体"/>
      <w:kern w:val="0"/>
      <w:sz w:val="22"/>
      <w:lang w:val="zh-CN" w:bidi="zh-CN"/>
    </w:rPr>
  </w:style>
  <w:style w:type="character" w:customStyle="1" w:styleId="70">
    <w:name w:val="正文文本 Char"/>
    <w:basedOn w:val="20"/>
    <w:link w:val="6"/>
    <w:qFormat/>
    <w:uiPriority w:val="0"/>
    <w:rPr>
      <w:rFonts w:ascii="宋体" w:hAnsi="宋体"/>
      <w:kern w:val="2"/>
      <w:sz w:val="24"/>
      <w:szCs w:val="22"/>
    </w:rPr>
  </w:style>
  <w:style w:type="paragraph" w:styleId="71">
    <w:name w:val="List Paragraph"/>
    <w:basedOn w:val="1"/>
    <w:unhideWhenUsed/>
    <w:qFormat/>
    <w:uiPriority w:val="99"/>
    <w:pPr>
      <w:ind w:firstLine="420" w:firstLineChars="200"/>
    </w:pPr>
  </w:style>
  <w:style w:type="character" w:customStyle="1" w:styleId="72">
    <w:name w:val="mail-contents"/>
    <w:basedOn w:val="20"/>
    <w:qFormat/>
    <w:uiPriority w:val="0"/>
  </w:style>
  <w:style w:type="character" w:customStyle="1" w:styleId="73">
    <w:name w:val="正文文本 2 Char"/>
    <w:link w:val="15"/>
    <w:qFormat/>
    <w:uiPriority w:val="0"/>
    <w:rPr>
      <w:rFonts w:cs="宋体"/>
      <w:sz w:val="24"/>
      <w:szCs w:val="24"/>
    </w:rPr>
  </w:style>
  <w:style w:type="character" w:customStyle="1" w:styleId="74">
    <w:name w:val="正文文本 2 Char1"/>
    <w:basedOn w:val="20"/>
    <w:qFormat/>
    <w:uiPriority w:val="0"/>
    <w:rPr>
      <w:rFonts w:ascii="宋体" w:hAnsi="宋体"/>
      <w:kern w:val="2"/>
      <w:sz w:val="24"/>
      <w:szCs w:val="22"/>
    </w:rPr>
  </w:style>
  <w:style w:type="paragraph" w:customStyle="1" w:styleId="75">
    <w:name w:val="标题 2_0_0"/>
    <w:basedOn w:val="76"/>
    <w:next w:val="76"/>
    <w:qFormat/>
    <w:uiPriority w:val="0"/>
    <w:pPr>
      <w:keepNext/>
      <w:keepLines/>
      <w:spacing w:before="260" w:after="260" w:line="413" w:lineRule="auto"/>
      <w:outlineLvl w:val="1"/>
    </w:pPr>
    <w:rPr>
      <w:rFonts w:ascii="Cambria" w:hAnsi="Cambria"/>
      <w:b/>
      <w:bCs/>
      <w:kern w:val="0"/>
      <w:sz w:val="32"/>
      <w:szCs w:val="32"/>
    </w:rPr>
  </w:style>
  <w:style w:type="paragraph" w:customStyle="1" w:styleId="76">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Normal_6_0"/>
    <w:qFormat/>
    <w:uiPriority w:val="0"/>
    <w:rPr>
      <w:rFonts w:ascii="Calibri" w:hAnsi="Calibri" w:eastAsia="Times New Roman" w:cs="Times New Roman"/>
      <w:sz w:val="24"/>
      <w:szCs w:val="24"/>
      <w:lang w:bidi="ar-SA"/>
    </w:rPr>
  </w:style>
  <w:style w:type="paragraph" w:customStyle="1" w:styleId="78">
    <w:name w:val="正文_3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BAB79-A1BB-40D6-A836-084C14DB64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5078</Words>
  <Characters>28949</Characters>
  <Lines>241</Lines>
  <Paragraphs>67</Paragraphs>
  <TotalTime>33</TotalTime>
  <ScaleCrop>false</ScaleCrop>
  <LinksUpToDate>false</LinksUpToDate>
  <CharactersWithSpaces>33960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2018-07-15T02:40:00Z</dcterms:created>
  <dc:creator>胡娜</dc:creator>
  <cp:lastModifiedBy>misolamiso</cp:lastModifiedBy>
  <cp:lastPrinted>2021-03-02T01:16:00Z</cp:lastPrinted>
  <dcterms:modified xsi:type="dcterms:W3CDTF">2022-01-14T08:08:18Z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7AF510A38874462B9F3E78629A188234</vt:lpwstr>
  </property>
</Properties>
</file>