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1A0" w:rsidRDefault="003A798E">
      <w:pPr>
        <w:jc w:val="center"/>
        <w:rPr>
          <w:rFonts w:ascii="黑体" w:eastAsia="黑体" w:hAnsi="黑体"/>
          <w:sz w:val="44"/>
          <w:szCs w:val="44"/>
        </w:rPr>
      </w:pPr>
      <w:r>
        <w:rPr>
          <w:rFonts w:ascii="黑体" w:eastAsia="黑体" w:hAnsi="黑体" w:hint="eastAsia"/>
          <w:sz w:val="44"/>
          <w:szCs w:val="44"/>
        </w:rPr>
        <w:t>三级等保（一体化电子病例、</w:t>
      </w:r>
      <w:r>
        <w:rPr>
          <w:rFonts w:ascii="黑体" w:eastAsia="黑体" w:hAnsi="黑体" w:hint="eastAsia"/>
          <w:sz w:val="44"/>
          <w:szCs w:val="44"/>
        </w:rPr>
        <w:t>lis</w:t>
      </w:r>
      <w:r>
        <w:rPr>
          <w:rFonts w:ascii="黑体" w:eastAsia="黑体" w:hAnsi="黑体" w:hint="eastAsia"/>
          <w:sz w:val="44"/>
          <w:szCs w:val="44"/>
        </w:rPr>
        <w:t>系统、</w:t>
      </w:r>
      <w:r>
        <w:rPr>
          <w:rFonts w:ascii="黑体" w:eastAsia="黑体" w:hAnsi="黑体" w:hint="eastAsia"/>
          <w:sz w:val="44"/>
          <w:szCs w:val="44"/>
        </w:rPr>
        <w:t>pacs</w:t>
      </w:r>
      <w:r>
        <w:rPr>
          <w:rFonts w:ascii="黑体" w:eastAsia="黑体" w:hAnsi="黑体" w:hint="eastAsia"/>
          <w:sz w:val="44"/>
          <w:szCs w:val="44"/>
        </w:rPr>
        <w:t>系统、互联网医院、集成平台）</w:t>
      </w:r>
    </w:p>
    <w:p w:rsidR="005231A0" w:rsidRDefault="003A798E">
      <w:pPr>
        <w:jc w:val="center"/>
        <w:rPr>
          <w:rFonts w:ascii="黑体" w:eastAsia="黑体" w:hAnsi="黑体"/>
          <w:sz w:val="44"/>
          <w:szCs w:val="44"/>
        </w:rPr>
      </w:pPr>
      <w:r>
        <w:rPr>
          <w:rFonts w:ascii="黑体" w:eastAsia="黑体" w:hAnsi="黑体" w:hint="eastAsia"/>
          <w:sz w:val="44"/>
          <w:szCs w:val="44"/>
        </w:rPr>
        <w:t>采购项目招标文件</w:t>
      </w:r>
      <w:r>
        <w:rPr>
          <w:rFonts w:ascii="黑体" w:eastAsia="黑体" w:hAnsi="黑体" w:hint="eastAsia"/>
          <w:sz w:val="44"/>
          <w:szCs w:val="44"/>
        </w:rPr>
        <w:t>（第一次）</w:t>
      </w:r>
    </w:p>
    <w:p w:rsidR="005231A0" w:rsidRDefault="003A798E">
      <w:pPr>
        <w:rPr>
          <w:sz w:val="24"/>
          <w:szCs w:val="24"/>
        </w:rPr>
      </w:pPr>
      <w:r>
        <w:rPr>
          <w:rFonts w:hint="eastAsia"/>
          <w:sz w:val="24"/>
          <w:szCs w:val="24"/>
        </w:rPr>
        <w:t>一、项目名称：</w:t>
      </w:r>
      <w:r>
        <w:rPr>
          <w:rFonts w:hint="eastAsia"/>
          <w:sz w:val="24"/>
          <w:szCs w:val="24"/>
        </w:rPr>
        <w:t>三级等保（一体化电子病例、</w:t>
      </w:r>
      <w:r>
        <w:rPr>
          <w:rFonts w:hint="eastAsia"/>
          <w:sz w:val="24"/>
          <w:szCs w:val="24"/>
        </w:rPr>
        <w:t>lis</w:t>
      </w:r>
      <w:r>
        <w:rPr>
          <w:rFonts w:hint="eastAsia"/>
          <w:sz w:val="24"/>
          <w:szCs w:val="24"/>
        </w:rPr>
        <w:t>系统、</w:t>
      </w:r>
      <w:r>
        <w:rPr>
          <w:rFonts w:hint="eastAsia"/>
          <w:sz w:val="24"/>
          <w:szCs w:val="24"/>
        </w:rPr>
        <w:t>pacs</w:t>
      </w:r>
      <w:r>
        <w:rPr>
          <w:rFonts w:hint="eastAsia"/>
          <w:sz w:val="24"/>
          <w:szCs w:val="24"/>
        </w:rPr>
        <w:t>系统、互联网医院、集成平台）项目</w:t>
      </w:r>
    </w:p>
    <w:p w:rsidR="005231A0" w:rsidRDefault="003A798E">
      <w:r>
        <w:rPr>
          <w:rFonts w:hint="eastAsia"/>
        </w:rPr>
        <w:t>二、评分标准</w:t>
      </w:r>
    </w:p>
    <w:tbl>
      <w:tblPr>
        <w:tblW w:w="957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94"/>
        <w:gridCol w:w="1035"/>
        <w:gridCol w:w="397"/>
        <w:gridCol w:w="6659"/>
        <w:gridCol w:w="790"/>
      </w:tblGrid>
      <w:tr w:rsidR="005231A0">
        <w:trPr>
          <w:trHeight w:val="565"/>
          <w:jc w:val="center"/>
        </w:trPr>
        <w:tc>
          <w:tcPr>
            <w:tcW w:w="694" w:type="dxa"/>
            <w:noWrap/>
            <w:vAlign w:val="center"/>
          </w:tcPr>
          <w:p w:rsidR="005231A0" w:rsidRDefault="003A798E">
            <w:pPr>
              <w:jc w:val="center"/>
              <w:rPr>
                <w:szCs w:val="21"/>
              </w:rPr>
            </w:pPr>
            <w:r>
              <w:rPr>
                <w:szCs w:val="21"/>
              </w:rPr>
              <w:t>序号</w:t>
            </w:r>
          </w:p>
        </w:tc>
        <w:tc>
          <w:tcPr>
            <w:tcW w:w="1432" w:type="dxa"/>
            <w:gridSpan w:val="2"/>
            <w:noWrap/>
            <w:vAlign w:val="center"/>
          </w:tcPr>
          <w:p w:rsidR="005231A0" w:rsidRDefault="003A798E">
            <w:pPr>
              <w:jc w:val="center"/>
              <w:rPr>
                <w:szCs w:val="21"/>
              </w:rPr>
            </w:pPr>
            <w:r>
              <w:rPr>
                <w:szCs w:val="21"/>
              </w:rPr>
              <w:t>评审项目</w:t>
            </w:r>
          </w:p>
        </w:tc>
        <w:tc>
          <w:tcPr>
            <w:tcW w:w="6659" w:type="dxa"/>
            <w:noWrap/>
            <w:vAlign w:val="center"/>
          </w:tcPr>
          <w:p w:rsidR="005231A0" w:rsidRDefault="003A798E">
            <w:pPr>
              <w:jc w:val="center"/>
              <w:rPr>
                <w:szCs w:val="21"/>
              </w:rPr>
            </w:pPr>
            <w:r>
              <w:rPr>
                <w:szCs w:val="21"/>
              </w:rPr>
              <w:t>评审标准</w:t>
            </w:r>
          </w:p>
        </w:tc>
        <w:tc>
          <w:tcPr>
            <w:tcW w:w="790" w:type="dxa"/>
            <w:noWrap/>
            <w:vAlign w:val="center"/>
          </w:tcPr>
          <w:p w:rsidR="005231A0" w:rsidRDefault="003A798E">
            <w:pPr>
              <w:jc w:val="center"/>
              <w:rPr>
                <w:szCs w:val="21"/>
              </w:rPr>
            </w:pPr>
            <w:r>
              <w:rPr>
                <w:szCs w:val="21"/>
              </w:rPr>
              <w:t>分值</w:t>
            </w:r>
          </w:p>
        </w:tc>
      </w:tr>
      <w:tr w:rsidR="005231A0">
        <w:trPr>
          <w:trHeight w:val="1303"/>
          <w:jc w:val="center"/>
        </w:trPr>
        <w:tc>
          <w:tcPr>
            <w:tcW w:w="694" w:type="dxa"/>
            <w:noWrap/>
            <w:vAlign w:val="center"/>
          </w:tcPr>
          <w:p w:rsidR="005231A0" w:rsidRDefault="003A798E">
            <w:pPr>
              <w:spacing w:line="360" w:lineRule="auto"/>
              <w:jc w:val="center"/>
              <w:rPr>
                <w:rFonts w:ascii="宋体" w:hAnsi="宋体"/>
                <w:szCs w:val="21"/>
              </w:rPr>
            </w:pPr>
            <w:r>
              <w:rPr>
                <w:rFonts w:ascii="宋体" w:hAnsi="宋体" w:hint="eastAsia"/>
                <w:szCs w:val="21"/>
              </w:rPr>
              <w:t>1</w:t>
            </w:r>
          </w:p>
        </w:tc>
        <w:tc>
          <w:tcPr>
            <w:tcW w:w="1432" w:type="dxa"/>
            <w:gridSpan w:val="2"/>
            <w:noWrap/>
            <w:vAlign w:val="center"/>
          </w:tcPr>
          <w:p w:rsidR="005231A0" w:rsidRDefault="003A798E">
            <w:pPr>
              <w:spacing w:line="360" w:lineRule="auto"/>
              <w:jc w:val="center"/>
              <w:rPr>
                <w:rFonts w:ascii="宋体" w:hAnsi="宋体"/>
                <w:color w:val="36363D"/>
                <w:szCs w:val="21"/>
              </w:rPr>
            </w:pPr>
            <w:r>
              <w:rPr>
                <w:rFonts w:ascii="宋体" w:hAnsi="宋体" w:hint="eastAsia"/>
                <w:color w:val="36363D"/>
                <w:szCs w:val="21"/>
              </w:rPr>
              <w:t>价格（</w:t>
            </w:r>
            <w:r>
              <w:rPr>
                <w:rFonts w:ascii="宋体" w:hAnsi="宋体" w:hint="eastAsia"/>
                <w:color w:val="36363D"/>
                <w:szCs w:val="21"/>
              </w:rPr>
              <w:t>5</w:t>
            </w:r>
            <w:r>
              <w:rPr>
                <w:rFonts w:ascii="宋体" w:hAnsi="宋体"/>
                <w:color w:val="36363D"/>
                <w:szCs w:val="21"/>
              </w:rPr>
              <w:t>0</w:t>
            </w:r>
            <w:r>
              <w:rPr>
                <w:rFonts w:ascii="宋体" w:hAnsi="宋体" w:hint="eastAsia"/>
                <w:color w:val="36363D"/>
                <w:szCs w:val="21"/>
              </w:rPr>
              <w:t>分）</w:t>
            </w:r>
          </w:p>
        </w:tc>
        <w:tc>
          <w:tcPr>
            <w:tcW w:w="6659" w:type="dxa"/>
            <w:noWrap/>
            <w:vAlign w:val="center"/>
          </w:tcPr>
          <w:p w:rsidR="005231A0" w:rsidRDefault="003A798E">
            <w:pPr>
              <w:spacing w:line="360" w:lineRule="auto"/>
              <w:rPr>
                <w:rFonts w:ascii="宋体" w:hAnsi="宋体"/>
                <w:szCs w:val="21"/>
              </w:rPr>
            </w:pPr>
            <w:r>
              <w:rPr>
                <w:rFonts w:ascii="宋体" w:hAnsi="宋体" w:hint="eastAsia"/>
                <w:szCs w:val="21"/>
              </w:rPr>
              <w:t>评标基准值：有效报价投标人超过七家时，将各有效投标人所投报价去掉一个最高值再去掉一个最低值后的算术平均值作为评标基准值，当有效报价投标单位少于七家</w:t>
            </w:r>
            <w:r>
              <w:rPr>
                <w:rFonts w:ascii="宋体" w:hAnsi="宋体" w:hint="eastAsia"/>
                <w:szCs w:val="21"/>
              </w:rPr>
              <w:t>(</w:t>
            </w:r>
            <w:r>
              <w:rPr>
                <w:rFonts w:ascii="宋体" w:hAnsi="宋体" w:hint="eastAsia"/>
                <w:szCs w:val="21"/>
              </w:rPr>
              <w:t>包括七家</w:t>
            </w:r>
            <w:r>
              <w:rPr>
                <w:rFonts w:ascii="宋体" w:hAnsi="宋体" w:hint="eastAsia"/>
                <w:szCs w:val="21"/>
              </w:rPr>
              <w:t>)</w:t>
            </w:r>
            <w:r>
              <w:rPr>
                <w:rFonts w:ascii="宋体" w:hAnsi="宋体" w:hint="eastAsia"/>
                <w:szCs w:val="21"/>
              </w:rPr>
              <w:t>时评标基准值为各有效投标人所投报价的算术平均值；</w:t>
            </w:r>
          </w:p>
          <w:p w:rsidR="005231A0" w:rsidRDefault="003A798E">
            <w:pPr>
              <w:spacing w:line="360" w:lineRule="auto"/>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）投标人报价与评标基准值相等的得满分；</w:t>
            </w:r>
          </w:p>
          <w:p w:rsidR="005231A0" w:rsidRDefault="003A798E">
            <w:pPr>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）投标报价每高于评标基准价</w:t>
            </w:r>
            <w:r>
              <w:rPr>
                <w:rFonts w:ascii="宋体" w:hAnsi="宋体" w:hint="eastAsia"/>
                <w:szCs w:val="21"/>
              </w:rPr>
              <w:t xml:space="preserve"> 1%(</w:t>
            </w:r>
            <w:r>
              <w:rPr>
                <w:rFonts w:ascii="宋体" w:hAnsi="宋体" w:hint="eastAsia"/>
                <w:szCs w:val="21"/>
              </w:rPr>
              <w:t>含</w:t>
            </w:r>
            <w:r>
              <w:rPr>
                <w:rFonts w:ascii="宋体" w:hAnsi="宋体" w:hint="eastAsia"/>
                <w:szCs w:val="21"/>
              </w:rPr>
              <w:t>1%)</w:t>
            </w:r>
            <w:r>
              <w:rPr>
                <w:rFonts w:ascii="宋体" w:hAnsi="宋体" w:hint="eastAsia"/>
                <w:szCs w:val="21"/>
              </w:rPr>
              <w:t>扣</w:t>
            </w:r>
            <w:r>
              <w:rPr>
                <w:rFonts w:ascii="宋体" w:hAnsi="宋体" w:hint="eastAsia"/>
                <w:szCs w:val="21"/>
              </w:rPr>
              <w:t xml:space="preserve"> 2 </w:t>
            </w:r>
            <w:r>
              <w:rPr>
                <w:rFonts w:ascii="宋体" w:hAnsi="宋体" w:hint="eastAsia"/>
                <w:szCs w:val="21"/>
              </w:rPr>
              <w:t>分</w:t>
            </w:r>
            <w:r>
              <w:rPr>
                <w:rFonts w:ascii="宋体" w:hAnsi="宋体" w:hint="eastAsia"/>
                <w:szCs w:val="21"/>
              </w:rPr>
              <w:t>,</w:t>
            </w:r>
            <w:r>
              <w:rPr>
                <w:rFonts w:ascii="宋体" w:hAnsi="宋体" w:hint="eastAsia"/>
                <w:szCs w:val="21"/>
              </w:rPr>
              <w:t>减完为止；</w:t>
            </w:r>
          </w:p>
          <w:p w:rsidR="005231A0" w:rsidRDefault="003A798E">
            <w:pPr>
              <w:spacing w:line="360" w:lineRule="auto"/>
              <w:rPr>
                <w:rFonts w:ascii="宋体" w:hAnsi="宋体"/>
                <w:szCs w:val="21"/>
              </w:rPr>
            </w:pPr>
            <w:r>
              <w:rPr>
                <w:rFonts w:ascii="宋体" w:hAnsi="宋体" w:hint="eastAsia"/>
                <w:szCs w:val="21"/>
              </w:rPr>
              <w:t>注：评标委员会认为投标人的报价明显低于其他投标人报价，使得其投标报价可能低于本招标项目成本价的，有可能影响项目质量或不能诚信履约的，给招标人带来严重风险的，投标人应按评标委员会要求作出书面说明并提供相关证明材料，不做说明、不能合理说明或不能提供相关证明材料或拒绝说明的，将被认定为恶意低价竞标并作无效投标处理。</w:t>
            </w:r>
          </w:p>
        </w:tc>
        <w:tc>
          <w:tcPr>
            <w:tcW w:w="790" w:type="dxa"/>
            <w:noWrap/>
            <w:vAlign w:val="center"/>
          </w:tcPr>
          <w:p w:rsidR="005231A0" w:rsidRDefault="003A798E">
            <w:pPr>
              <w:spacing w:line="360" w:lineRule="auto"/>
              <w:jc w:val="center"/>
              <w:rPr>
                <w:rFonts w:ascii="宋体" w:hAnsi="宋体"/>
                <w:szCs w:val="21"/>
              </w:rPr>
            </w:pPr>
            <w:r>
              <w:rPr>
                <w:rFonts w:ascii="宋体" w:hAnsi="宋体" w:hint="eastAsia"/>
                <w:szCs w:val="21"/>
              </w:rPr>
              <w:t>5</w:t>
            </w:r>
            <w:r>
              <w:rPr>
                <w:rFonts w:ascii="宋体" w:hAnsi="宋体"/>
                <w:szCs w:val="21"/>
              </w:rPr>
              <w:t>0</w:t>
            </w:r>
          </w:p>
        </w:tc>
      </w:tr>
      <w:tr w:rsidR="005231A0">
        <w:trPr>
          <w:trHeight w:val="770"/>
          <w:jc w:val="center"/>
        </w:trPr>
        <w:tc>
          <w:tcPr>
            <w:tcW w:w="694" w:type="dxa"/>
            <w:vMerge w:val="restart"/>
            <w:noWrap/>
            <w:vAlign w:val="center"/>
          </w:tcPr>
          <w:p w:rsidR="005231A0" w:rsidRDefault="003A798E">
            <w:pPr>
              <w:spacing w:line="360" w:lineRule="auto"/>
              <w:jc w:val="center"/>
              <w:rPr>
                <w:rFonts w:ascii="宋体" w:hAnsi="宋体"/>
                <w:szCs w:val="21"/>
              </w:rPr>
            </w:pPr>
            <w:r>
              <w:rPr>
                <w:rFonts w:ascii="宋体" w:hAnsi="宋体" w:hint="eastAsia"/>
                <w:szCs w:val="21"/>
              </w:rPr>
              <w:t>2</w:t>
            </w:r>
          </w:p>
          <w:p w:rsidR="005231A0" w:rsidRDefault="005231A0">
            <w:pPr>
              <w:spacing w:line="360" w:lineRule="auto"/>
              <w:jc w:val="center"/>
              <w:rPr>
                <w:rFonts w:ascii="宋体" w:hAnsi="宋体"/>
                <w:szCs w:val="21"/>
              </w:rPr>
            </w:pPr>
          </w:p>
        </w:tc>
        <w:tc>
          <w:tcPr>
            <w:tcW w:w="1035" w:type="dxa"/>
            <w:vMerge w:val="restart"/>
            <w:noWrap/>
            <w:vAlign w:val="center"/>
          </w:tcPr>
          <w:p w:rsidR="005231A0" w:rsidRDefault="003A798E">
            <w:pPr>
              <w:spacing w:line="360" w:lineRule="auto"/>
              <w:jc w:val="center"/>
              <w:rPr>
                <w:rFonts w:ascii="宋体" w:hAnsi="宋体"/>
                <w:szCs w:val="21"/>
              </w:rPr>
            </w:pPr>
            <w:r>
              <w:rPr>
                <w:rFonts w:ascii="宋体" w:hAnsi="宋体" w:hint="eastAsia"/>
                <w:szCs w:val="21"/>
              </w:rPr>
              <w:lastRenderedPageBreak/>
              <w:t>商务</w:t>
            </w:r>
          </w:p>
          <w:p w:rsidR="005231A0" w:rsidRDefault="003A798E">
            <w:pPr>
              <w:spacing w:line="360" w:lineRule="auto"/>
              <w:jc w:val="center"/>
              <w:rPr>
                <w:rFonts w:ascii="宋体" w:hAnsi="宋体"/>
                <w:szCs w:val="21"/>
              </w:rPr>
            </w:pPr>
            <w:r>
              <w:rPr>
                <w:rFonts w:ascii="宋体" w:hAnsi="宋体" w:hint="eastAsia"/>
                <w:szCs w:val="21"/>
              </w:rPr>
              <w:lastRenderedPageBreak/>
              <w:t>（</w:t>
            </w:r>
            <w:r>
              <w:rPr>
                <w:rFonts w:ascii="宋体" w:hAnsi="宋体" w:hint="eastAsia"/>
                <w:szCs w:val="21"/>
              </w:rPr>
              <w:t>3</w:t>
            </w:r>
            <w:r>
              <w:rPr>
                <w:rFonts w:ascii="宋体" w:hAnsi="宋体"/>
                <w:szCs w:val="21"/>
              </w:rPr>
              <w:t>0</w:t>
            </w:r>
            <w:r>
              <w:rPr>
                <w:rFonts w:ascii="宋体" w:hAnsi="宋体" w:hint="eastAsia"/>
                <w:szCs w:val="21"/>
              </w:rPr>
              <w:t>分）</w:t>
            </w:r>
          </w:p>
          <w:p w:rsidR="005231A0" w:rsidRDefault="005231A0">
            <w:pPr>
              <w:spacing w:line="360" w:lineRule="auto"/>
              <w:jc w:val="center"/>
              <w:rPr>
                <w:rFonts w:ascii="宋体" w:hAnsi="宋体"/>
                <w:szCs w:val="21"/>
              </w:rPr>
            </w:pPr>
          </w:p>
        </w:tc>
        <w:tc>
          <w:tcPr>
            <w:tcW w:w="397" w:type="dxa"/>
            <w:vMerge w:val="restart"/>
            <w:noWrap/>
            <w:vAlign w:val="center"/>
          </w:tcPr>
          <w:p w:rsidR="005231A0" w:rsidRDefault="003A798E">
            <w:pPr>
              <w:spacing w:line="360" w:lineRule="auto"/>
              <w:rPr>
                <w:rFonts w:ascii="宋体" w:hAnsi="宋体"/>
                <w:szCs w:val="21"/>
              </w:rPr>
            </w:pPr>
            <w:r>
              <w:rPr>
                <w:rFonts w:ascii="宋体" w:hAnsi="宋体" w:hint="eastAsia"/>
                <w:szCs w:val="21"/>
              </w:rPr>
              <w:lastRenderedPageBreak/>
              <w:t>综</w:t>
            </w:r>
            <w:r>
              <w:rPr>
                <w:rFonts w:ascii="宋体" w:hAnsi="宋体" w:hint="eastAsia"/>
                <w:szCs w:val="21"/>
              </w:rPr>
              <w:lastRenderedPageBreak/>
              <w:t>合</w:t>
            </w:r>
          </w:p>
          <w:p w:rsidR="005231A0" w:rsidRDefault="003A798E">
            <w:pPr>
              <w:spacing w:line="360" w:lineRule="auto"/>
              <w:jc w:val="center"/>
              <w:rPr>
                <w:rFonts w:ascii="宋体" w:hAnsi="宋体"/>
                <w:szCs w:val="21"/>
              </w:rPr>
            </w:pPr>
            <w:r>
              <w:rPr>
                <w:rFonts w:ascii="宋体" w:hAnsi="宋体" w:hint="eastAsia"/>
                <w:szCs w:val="21"/>
              </w:rPr>
              <w:t>实力</w:t>
            </w:r>
          </w:p>
        </w:tc>
        <w:tc>
          <w:tcPr>
            <w:tcW w:w="6659" w:type="dxa"/>
            <w:noWrap/>
            <w:vAlign w:val="center"/>
          </w:tcPr>
          <w:p w:rsidR="005231A0" w:rsidRDefault="003A798E">
            <w:pPr>
              <w:spacing w:line="360" w:lineRule="auto"/>
              <w:rPr>
                <w:rFonts w:ascii="宋体" w:hAnsi="宋体"/>
                <w:szCs w:val="21"/>
              </w:rPr>
            </w:pPr>
            <w:r>
              <w:rPr>
                <w:rFonts w:ascii="宋体" w:hAnsi="宋体" w:hint="eastAsia"/>
                <w:szCs w:val="21"/>
              </w:rPr>
              <w:lastRenderedPageBreak/>
              <w:t>投标人具有公安部第三研究所颁发的网络安全等级测评与检测评估机构服务认证证书且未受到监管单位的警告、处罚、整改，并提供</w:t>
            </w:r>
            <w:r>
              <w:rPr>
                <w:rFonts w:ascii="宋体" w:hAnsi="宋体" w:hint="eastAsia"/>
                <w:szCs w:val="21"/>
              </w:rPr>
              <w:lastRenderedPageBreak/>
              <w:t>网络安全等级保护网（</w:t>
            </w:r>
            <w:r>
              <w:rPr>
                <w:rFonts w:ascii="宋体" w:hAnsi="宋体" w:hint="eastAsia"/>
                <w:szCs w:val="21"/>
              </w:rPr>
              <w:t>www.djbh.net</w:t>
            </w:r>
            <w:r>
              <w:rPr>
                <w:rFonts w:ascii="宋体" w:hAnsi="宋体" w:hint="eastAsia"/>
                <w:szCs w:val="21"/>
              </w:rPr>
              <w:t>）查询的证明材料或承诺函的计</w:t>
            </w:r>
            <w:r>
              <w:rPr>
                <w:rFonts w:ascii="宋体" w:hAnsi="宋体"/>
                <w:szCs w:val="21"/>
              </w:rPr>
              <w:t>2</w:t>
            </w:r>
            <w:r>
              <w:rPr>
                <w:rFonts w:ascii="宋体" w:hAnsi="宋体" w:hint="eastAsia"/>
                <w:szCs w:val="21"/>
              </w:rPr>
              <w:t>分。（提供证明文件复印件及证明材料</w:t>
            </w:r>
            <w:r>
              <w:rPr>
                <w:rFonts w:ascii="宋体" w:hAnsi="宋体" w:hint="eastAsia"/>
                <w:szCs w:val="21"/>
              </w:rPr>
              <w:t>/</w:t>
            </w:r>
            <w:r>
              <w:rPr>
                <w:rFonts w:ascii="宋体" w:hAnsi="宋体" w:hint="eastAsia"/>
                <w:szCs w:val="21"/>
              </w:rPr>
              <w:t>承诺函加盖公章，不提供不计分）</w:t>
            </w:r>
          </w:p>
        </w:tc>
        <w:tc>
          <w:tcPr>
            <w:tcW w:w="790" w:type="dxa"/>
            <w:noWrap/>
            <w:vAlign w:val="center"/>
          </w:tcPr>
          <w:p w:rsidR="005231A0" w:rsidRDefault="003A798E">
            <w:pPr>
              <w:spacing w:line="360" w:lineRule="auto"/>
              <w:jc w:val="center"/>
              <w:rPr>
                <w:rFonts w:ascii="宋体" w:hAnsi="宋体"/>
                <w:szCs w:val="21"/>
              </w:rPr>
            </w:pPr>
            <w:r>
              <w:rPr>
                <w:rFonts w:ascii="宋体" w:hAnsi="宋体" w:hint="eastAsia"/>
                <w:szCs w:val="21"/>
              </w:rPr>
              <w:lastRenderedPageBreak/>
              <w:t>4</w:t>
            </w:r>
          </w:p>
        </w:tc>
      </w:tr>
      <w:tr w:rsidR="005231A0">
        <w:trPr>
          <w:trHeight w:val="770"/>
          <w:jc w:val="center"/>
        </w:trPr>
        <w:tc>
          <w:tcPr>
            <w:tcW w:w="694" w:type="dxa"/>
            <w:vMerge/>
            <w:noWrap/>
            <w:vAlign w:val="center"/>
          </w:tcPr>
          <w:p w:rsidR="005231A0" w:rsidRDefault="005231A0">
            <w:pPr>
              <w:spacing w:line="360" w:lineRule="auto"/>
              <w:jc w:val="center"/>
              <w:rPr>
                <w:rFonts w:ascii="宋体" w:hAnsi="宋体"/>
                <w:szCs w:val="21"/>
              </w:rPr>
            </w:pPr>
          </w:p>
        </w:tc>
        <w:tc>
          <w:tcPr>
            <w:tcW w:w="1035" w:type="dxa"/>
            <w:vMerge/>
            <w:noWrap/>
            <w:vAlign w:val="center"/>
          </w:tcPr>
          <w:p w:rsidR="005231A0" w:rsidRDefault="005231A0">
            <w:pPr>
              <w:spacing w:line="360" w:lineRule="auto"/>
              <w:jc w:val="center"/>
              <w:rPr>
                <w:rFonts w:ascii="宋体" w:hAnsi="宋体"/>
                <w:szCs w:val="21"/>
              </w:rPr>
            </w:pPr>
          </w:p>
        </w:tc>
        <w:tc>
          <w:tcPr>
            <w:tcW w:w="397" w:type="dxa"/>
            <w:vMerge/>
            <w:noWrap/>
            <w:vAlign w:val="center"/>
          </w:tcPr>
          <w:p w:rsidR="005231A0" w:rsidRDefault="005231A0">
            <w:pPr>
              <w:spacing w:line="360" w:lineRule="auto"/>
              <w:jc w:val="center"/>
              <w:rPr>
                <w:rFonts w:ascii="宋体" w:hAnsi="宋体"/>
                <w:szCs w:val="21"/>
              </w:rPr>
            </w:pPr>
          </w:p>
        </w:tc>
        <w:tc>
          <w:tcPr>
            <w:tcW w:w="6659" w:type="dxa"/>
            <w:noWrap/>
            <w:vAlign w:val="center"/>
          </w:tcPr>
          <w:p w:rsidR="005231A0" w:rsidRDefault="003A798E">
            <w:pPr>
              <w:spacing w:line="360" w:lineRule="auto"/>
              <w:rPr>
                <w:rFonts w:ascii="宋体" w:hAnsi="宋体"/>
                <w:szCs w:val="21"/>
              </w:rPr>
            </w:pPr>
            <w:r>
              <w:rPr>
                <w:rFonts w:ascii="宋体" w:hAnsi="宋体" w:hint="eastAsia"/>
                <w:szCs w:val="21"/>
              </w:rPr>
              <w:t>投标人具有中国网络安全审查技术与认证中心颁发的信息安全服务资质认证证书（</w:t>
            </w:r>
            <w:r>
              <w:rPr>
                <w:rFonts w:ascii="宋体" w:hAnsi="宋体" w:hint="eastAsia"/>
                <w:szCs w:val="21"/>
              </w:rPr>
              <w:t>CCRC</w:t>
            </w:r>
            <w:r>
              <w:rPr>
                <w:rFonts w:ascii="宋体" w:hAnsi="宋体" w:hint="eastAsia"/>
                <w:szCs w:val="21"/>
              </w:rPr>
              <w:t>）信息安全风险评估资质（提供证书复印件及网站查询截图并加盖公章，不提供不计分，查询链接：</w:t>
            </w:r>
            <w:r>
              <w:rPr>
                <w:rFonts w:ascii="宋体" w:hAnsi="宋体" w:hint="eastAsia"/>
                <w:szCs w:val="21"/>
              </w:rPr>
              <w:t>http://cx.cnca.cn/CertECloud/index/index/page</w:t>
            </w:r>
            <w:r>
              <w:rPr>
                <w:rFonts w:ascii="宋体" w:hAnsi="宋体" w:hint="eastAsia"/>
                <w:szCs w:val="21"/>
              </w:rPr>
              <w:t>）。</w:t>
            </w:r>
          </w:p>
        </w:tc>
        <w:tc>
          <w:tcPr>
            <w:tcW w:w="790" w:type="dxa"/>
            <w:noWrap/>
            <w:vAlign w:val="center"/>
          </w:tcPr>
          <w:p w:rsidR="005231A0" w:rsidRDefault="003A798E">
            <w:pPr>
              <w:spacing w:line="360" w:lineRule="auto"/>
              <w:jc w:val="center"/>
              <w:rPr>
                <w:rFonts w:ascii="宋体" w:hAnsi="宋体"/>
                <w:szCs w:val="21"/>
              </w:rPr>
            </w:pPr>
            <w:r>
              <w:rPr>
                <w:rFonts w:ascii="宋体" w:hAnsi="宋体" w:hint="eastAsia"/>
                <w:szCs w:val="21"/>
              </w:rPr>
              <w:t>2</w:t>
            </w:r>
          </w:p>
        </w:tc>
      </w:tr>
      <w:tr w:rsidR="005231A0">
        <w:trPr>
          <w:trHeight w:val="770"/>
          <w:jc w:val="center"/>
        </w:trPr>
        <w:tc>
          <w:tcPr>
            <w:tcW w:w="694" w:type="dxa"/>
            <w:vMerge/>
            <w:noWrap/>
            <w:vAlign w:val="center"/>
          </w:tcPr>
          <w:p w:rsidR="005231A0" w:rsidRDefault="005231A0">
            <w:pPr>
              <w:spacing w:line="360" w:lineRule="auto"/>
              <w:jc w:val="center"/>
              <w:rPr>
                <w:rFonts w:ascii="宋体" w:hAnsi="宋体"/>
                <w:szCs w:val="21"/>
              </w:rPr>
            </w:pPr>
          </w:p>
        </w:tc>
        <w:tc>
          <w:tcPr>
            <w:tcW w:w="1035" w:type="dxa"/>
            <w:vMerge/>
            <w:noWrap/>
            <w:vAlign w:val="center"/>
          </w:tcPr>
          <w:p w:rsidR="005231A0" w:rsidRDefault="005231A0">
            <w:pPr>
              <w:spacing w:line="360" w:lineRule="auto"/>
              <w:jc w:val="center"/>
              <w:rPr>
                <w:rFonts w:ascii="宋体" w:hAnsi="宋体"/>
                <w:szCs w:val="21"/>
              </w:rPr>
            </w:pPr>
          </w:p>
        </w:tc>
        <w:tc>
          <w:tcPr>
            <w:tcW w:w="397" w:type="dxa"/>
            <w:vMerge/>
            <w:noWrap/>
            <w:vAlign w:val="center"/>
          </w:tcPr>
          <w:p w:rsidR="005231A0" w:rsidRDefault="005231A0">
            <w:pPr>
              <w:spacing w:line="360" w:lineRule="auto"/>
              <w:rPr>
                <w:rFonts w:ascii="宋体" w:hAnsi="宋体"/>
                <w:szCs w:val="21"/>
              </w:rPr>
            </w:pPr>
          </w:p>
        </w:tc>
        <w:tc>
          <w:tcPr>
            <w:tcW w:w="6659" w:type="dxa"/>
            <w:noWrap/>
            <w:vAlign w:val="center"/>
          </w:tcPr>
          <w:p w:rsidR="005231A0" w:rsidRDefault="003A798E">
            <w:pPr>
              <w:spacing w:line="360" w:lineRule="auto"/>
              <w:rPr>
                <w:rFonts w:ascii="宋体" w:hAnsi="宋体"/>
                <w:color w:val="36363D"/>
                <w:szCs w:val="21"/>
              </w:rPr>
            </w:pPr>
            <w:r>
              <w:rPr>
                <w:rFonts w:ascii="宋体" w:hAnsi="宋体"/>
                <w:color w:val="36363D"/>
                <w:szCs w:val="21"/>
              </w:rPr>
              <w:t>供应商具有数据管理能力成熟度等级证书（</w:t>
            </w:r>
            <w:r>
              <w:rPr>
                <w:rFonts w:ascii="宋体" w:hAnsi="宋体"/>
                <w:color w:val="36363D"/>
                <w:szCs w:val="21"/>
              </w:rPr>
              <w:t>DCMM</w:t>
            </w:r>
            <w:r>
              <w:rPr>
                <w:rFonts w:ascii="宋体" w:hAnsi="宋体"/>
                <w:color w:val="36363D"/>
                <w:szCs w:val="21"/>
              </w:rPr>
              <w:t>）</w:t>
            </w:r>
            <w:r>
              <w:rPr>
                <w:color w:val="36363D"/>
              </w:rPr>
              <w:t>二级及以上</w:t>
            </w:r>
            <w:r>
              <w:rPr>
                <w:rFonts w:ascii="宋体" w:hAnsi="宋体"/>
                <w:color w:val="36363D"/>
                <w:szCs w:val="21"/>
              </w:rPr>
              <w:t>的计</w:t>
            </w:r>
            <w:r>
              <w:rPr>
                <w:rFonts w:ascii="宋体" w:hAnsi="宋体" w:hint="eastAsia"/>
                <w:color w:val="36363D"/>
                <w:szCs w:val="21"/>
              </w:rPr>
              <w:t>8</w:t>
            </w:r>
            <w:r>
              <w:rPr>
                <w:rFonts w:ascii="宋体" w:hAnsi="宋体"/>
                <w:color w:val="36363D"/>
                <w:szCs w:val="21"/>
              </w:rPr>
              <w:t>分（提供有效期内证书复印件加盖供应商公章，不提供不计分）</w:t>
            </w:r>
          </w:p>
        </w:tc>
        <w:tc>
          <w:tcPr>
            <w:tcW w:w="790" w:type="dxa"/>
            <w:noWrap/>
            <w:vAlign w:val="center"/>
          </w:tcPr>
          <w:p w:rsidR="005231A0" w:rsidRDefault="003A798E">
            <w:pPr>
              <w:spacing w:line="360" w:lineRule="auto"/>
              <w:jc w:val="center"/>
              <w:rPr>
                <w:rFonts w:ascii="宋体" w:hAnsi="宋体"/>
                <w:szCs w:val="21"/>
              </w:rPr>
            </w:pPr>
            <w:r>
              <w:rPr>
                <w:rFonts w:ascii="宋体" w:hAnsi="宋体" w:hint="eastAsia"/>
                <w:szCs w:val="21"/>
              </w:rPr>
              <w:t>8</w:t>
            </w:r>
          </w:p>
        </w:tc>
      </w:tr>
      <w:tr w:rsidR="005231A0">
        <w:trPr>
          <w:trHeight w:val="770"/>
          <w:jc w:val="center"/>
        </w:trPr>
        <w:tc>
          <w:tcPr>
            <w:tcW w:w="694" w:type="dxa"/>
            <w:vMerge/>
            <w:noWrap/>
            <w:vAlign w:val="center"/>
          </w:tcPr>
          <w:p w:rsidR="005231A0" w:rsidRDefault="005231A0">
            <w:pPr>
              <w:spacing w:line="360" w:lineRule="auto"/>
              <w:jc w:val="center"/>
              <w:rPr>
                <w:rFonts w:ascii="宋体" w:hAnsi="宋体"/>
                <w:szCs w:val="21"/>
              </w:rPr>
            </w:pPr>
          </w:p>
        </w:tc>
        <w:tc>
          <w:tcPr>
            <w:tcW w:w="1035" w:type="dxa"/>
            <w:vMerge/>
            <w:noWrap/>
            <w:vAlign w:val="center"/>
          </w:tcPr>
          <w:p w:rsidR="005231A0" w:rsidRDefault="005231A0">
            <w:pPr>
              <w:spacing w:line="360" w:lineRule="auto"/>
              <w:jc w:val="center"/>
              <w:rPr>
                <w:rFonts w:ascii="宋体" w:hAnsi="宋体"/>
                <w:szCs w:val="21"/>
              </w:rPr>
            </w:pPr>
          </w:p>
        </w:tc>
        <w:tc>
          <w:tcPr>
            <w:tcW w:w="397" w:type="dxa"/>
            <w:vMerge/>
            <w:noWrap/>
            <w:vAlign w:val="center"/>
          </w:tcPr>
          <w:p w:rsidR="005231A0" w:rsidRDefault="005231A0">
            <w:pPr>
              <w:spacing w:line="360" w:lineRule="auto"/>
              <w:rPr>
                <w:rFonts w:ascii="宋体" w:hAnsi="宋体"/>
                <w:szCs w:val="21"/>
              </w:rPr>
            </w:pPr>
          </w:p>
        </w:tc>
        <w:tc>
          <w:tcPr>
            <w:tcW w:w="6659" w:type="dxa"/>
            <w:noWrap/>
            <w:vAlign w:val="center"/>
          </w:tcPr>
          <w:p w:rsidR="005231A0" w:rsidRDefault="003A798E">
            <w:pPr>
              <w:spacing w:line="360" w:lineRule="auto"/>
              <w:rPr>
                <w:rFonts w:ascii="宋体" w:hAnsi="宋体"/>
                <w:szCs w:val="21"/>
              </w:rPr>
            </w:pPr>
            <w:r>
              <w:rPr>
                <w:rFonts w:ascii="宋体" w:hAnsi="宋体" w:hint="eastAsia"/>
                <w:szCs w:val="21"/>
              </w:rPr>
              <w:t>投标人具有省级及以上工业和信息化厅授予的省级及以上工业控制系统信息安全服务支撑机构的计</w:t>
            </w:r>
            <w:r>
              <w:rPr>
                <w:rFonts w:ascii="宋体" w:hAnsi="宋体" w:hint="eastAsia"/>
                <w:szCs w:val="21"/>
              </w:rPr>
              <w:t>8</w:t>
            </w:r>
            <w:r>
              <w:rPr>
                <w:rFonts w:ascii="宋体" w:hAnsi="宋体" w:hint="eastAsia"/>
                <w:szCs w:val="21"/>
              </w:rPr>
              <w:t>分。</w:t>
            </w:r>
          </w:p>
          <w:p w:rsidR="005231A0" w:rsidRDefault="003A798E">
            <w:pPr>
              <w:spacing w:line="360" w:lineRule="auto"/>
              <w:rPr>
                <w:rFonts w:ascii="宋体" w:hAnsi="宋体"/>
                <w:szCs w:val="21"/>
              </w:rPr>
            </w:pPr>
            <w:r>
              <w:rPr>
                <w:rFonts w:ascii="宋体" w:hAnsi="宋体" w:hint="eastAsia"/>
                <w:szCs w:val="21"/>
              </w:rPr>
              <w:t>（提供有效期内证明文件复印件及网站查询截图加盖公章，不提供不计分，查询链接：</w:t>
            </w:r>
            <w:r>
              <w:rPr>
                <w:rFonts w:ascii="宋体" w:hAnsi="宋体" w:hint="eastAsia"/>
                <w:szCs w:val="21"/>
              </w:rPr>
              <w:t xml:space="preserve">http://gxt.hunan.gov.cn/gxt/xxgk_71033/tzgg/202012/t20201231_14099100.html  </w:t>
            </w:r>
            <w:r>
              <w:rPr>
                <w:rFonts w:ascii="宋体" w:hAnsi="宋体" w:hint="eastAsia"/>
                <w:szCs w:val="21"/>
              </w:rPr>
              <w:t>）</w:t>
            </w:r>
          </w:p>
        </w:tc>
        <w:tc>
          <w:tcPr>
            <w:tcW w:w="790" w:type="dxa"/>
            <w:noWrap/>
            <w:vAlign w:val="center"/>
          </w:tcPr>
          <w:p w:rsidR="005231A0" w:rsidRDefault="003A798E">
            <w:pPr>
              <w:spacing w:line="360" w:lineRule="auto"/>
              <w:jc w:val="center"/>
              <w:rPr>
                <w:rFonts w:ascii="宋体" w:hAnsi="宋体"/>
                <w:szCs w:val="21"/>
              </w:rPr>
            </w:pPr>
            <w:r>
              <w:rPr>
                <w:rFonts w:ascii="宋体" w:hAnsi="宋体" w:hint="eastAsia"/>
                <w:szCs w:val="21"/>
              </w:rPr>
              <w:t>8</w:t>
            </w:r>
          </w:p>
        </w:tc>
      </w:tr>
      <w:tr w:rsidR="005231A0">
        <w:trPr>
          <w:trHeight w:val="921"/>
          <w:jc w:val="center"/>
        </w:trPr>
        <w:tc>
          <w:tcPr>
            <w:tcW w:w="694" w:type="dxa"/>
            <w:vMerge/>
            <w:noWrap/>
            <w:vAlign w:val="center"/>
          </w:tcPr>
          <w:p w:rsidR="005231A0" w:rsidRDefault="005231A0">
            <w:pPr>
              <w:spacing w:line="360" w:lineRule="auto"/>
              <w:jc w:val="center"/>
              <w:rPr>
                <w:rFonts w:ascii="宋体" w:hAnsi="宋体"/>
                <w:szCs w:val="21"/>
              </w:rPr>
            </w:pPr>
          </w:p>
        </w:tc>
        <w:tc>
          <w:tcPr>
            <w:tcW w:w="1035" w:type="dxa"/>
            <w:vMerge/>
            <w:noWrap/>
            <w:vAlign w:val="center"/>
          </w:tcPr>
          <w:p w:rsidR="005231A0" w:rsidRDefault="005231A0">
            <w:pPr>
              <w:spacing w:line="360" w:lineRule="auto"/>
              <w:jc w:val="center"/>
              <w:rPr>
                <w:rFonts w:ascii="宋体" w:hAnsi="宋体"/>
                <w:szCs w:val="21"/>
              </w:rPr>
            </w:pPr>
          </w:p>
        </w:tc>
        <w:tc>
          <w:tcPr>
            <w:tcW w:w="397" w:type="dxa"/>
            <w:vMerge/>
            <w:noWrap/>
            <w:vAlign w:val="center"/>
          </w:tcPr>
          <w:p w:rsidR="005231A0" w:rsidRDefault="005231A0">
            <w:pPr>
              <w:spacing w:line="360" w:lineRule="auto"/>
              <w:rPr>
                <w:rFonts w:ascii="宋体" w:hAnsi="宋体"/>
                <w:szCs w:val="21"/>
              </w:rPr>
            </w:pPr>
          </w:p>
        </w:tc>
        <w:tc>
          <w:tcPr>
            <w:tcW w:w="6659" w:type="dxa"/>
            <w:noWrap/>
            <w:vAlign w:val="center"/>
          </w:tcPr>
          <w:p w:rsidR="005231A0" w:rsidRDefault="003A798E">
            <w:pPr>
              <w:spacing w:line="360" w:lineRule="auto"/>
              <w:rPr>
                <w:rFonts w:ascii="宋体" w:hAnsi="宋体"/>
                <w:szCs w:val="21"/>
              </w:rPr>
            </w:pPr>
            <w:r>
              <w:rPr>
                <w:rFonts w:ascii="宋体" w:hAnsi="宋体" w:hint="eastAsia"/>
                <w:szCs w:val="21"/>
              </w:rPr>
              <w:t>供应商近三年内网络安全等级保护测评能力验证计划结果为：满意（优秀）的计</w:t>
            </w:r>
            <w:r>
              <w:rPr>
                <w:rFonts w:ascii="宋体" w:hAnsi="宋体" w:hint="eastAsia"/>
                <w:szCs w:val="21"/>
              </w:rPr>
              <w:t>8</w:t>
            </w:r>
            <w:r>
              <w:rPr>
                <w:rFonts w:ascii="宋体" w:hAnsi="宋体" w:hint="eastAsia"/>
                <w:szCs w:val="21"/>
              </w:rPr>
              <w:t>分（提供有效证明文件加盖供应商公章，不提供不计分）。</w:t>
            </w:r>
          </w:p>
        </w:tc>
        <w:tc>
          <w:tcPr>
            <w:tcW w:w="790" w:type="dxa"/>
            <w:noWrap/>
            <w:vAlign w:val="center"/>
          </w:tcPr>
          <w:p w:rsidR="005231A0" w:rsidRDefault="003A798E">
            <w:pPr>
              <w:spacing w:line="360" w:lineRule="auto"/>
              <w:jc w:val="center"/>
              <w:rPr>
                <w:rFonts w:ascii="宋体" w:hAnsi="宋体"/>
                <w:szCs w:val="21"/>
              </w:rPr>
            </w:pPr>
            <w:r>
              <w:rPr>
                <w:rFonts w:ascii="宋体" w:hAnsi="宋体" w:hint="eastAsia"/>
                <w:szCs w:val="21"/>
              </w:rPr>
              <w:t>8</w:t>
            </w:r>
          </w:p>
        </w:tc>
      </w:tr>
      <w:tr w:rsidR="005231A0">
        <w:trPr>
          <w:trHeight w:val="336"/>
          <w:jc w:val="center"/>
        </w:trPr>
        <w:tc>
          <w:tcPr>
            <w:tcW w:w="694" w:type="dxa"/>
            <w:vMerge w:val="restart"/>
            <w:noWrap/>
            <w:vAlign w:val="center"/>
          </w:tcPr>
          <w:p w:rsidR="005231A0" w:rsidRDefault="003A798E">
            <w:pPr>
              <w:spacing w:line="360" w:lineRule="auto"/>
              <w:jc w:val="center"/>
              <w:rPr>
                <w:rFonts w:ascii="宋体" w:hAnsi="宋体"/>
                <w:szCs w:val="21"/>
              </w:rPr>
            </w:pPr>
            <w:r>
              <w:rPr>
                <w:rFonts w:ascii="宋体" w:hAnsi="宋体" w:hint="eastAsia"/>
                <w:szCs w:val="21"/>
              </w:rPr>
              <w:t>3</w:t>
            </w:r>
          </w:p>
        </w:tc>
        <w:tc>
          <w:tcPr>
            <w:tcW w:w="1035" w:type="dxa"/>
            <w:vMerge w:val="restart"/>
            <w:noWrap/>
            <w:vAlign w:val="center"/>
          </w:tcPr>
          <w:p w:rsidR="005231A0" w:rsidRDefault="003A798E">
            <w:pPr>
              <w:spacing w:line="360" w:lineRule="auto"/>
              <w:jc w:val="center"/>
              <w:rPr>
                <w:rFonts w:ascii="宋体" w:hAnsi="宋体"/>
                <w:szCs w:val="21"/>
              </w:rPr>
            </w:pPr>
            <w:r>
              <w:rPr>
                <w:rFonts w:ascii="宋体" w:hAnsi="宋体" w:hint="eastAsia"/>
                <w:szCs w:val="21"/>
              </w:rPr>
              <w:t>技术</w:t>
            </w:r>
          </w:p>
          <w:p w:rsidR="005231A0" w:rsidRDefault="003A798E">
            <w:pPr>
              <w:spacing w:line="360" w:lineRule="auto"/>
              <w:jc w:val="center"/>
              <w:rPr>
                <w:rFonts w:ascii="宋体" w:hAnsi="宋体"/>
                <w:szCs w:val="21"/>
              </w:rPr>
            </w:pPr>
            <w:r>
              <w:rPr>
                <w:rFonts w:ascii="宋体" w:hAnsi="宋体" w:hint="eastAsia"/>
                <w:szCs w:val="21"/>
              </w:rPr>
              <w:t>（</w:t>
            </w:r>
            <w:r>
              <w:rPr>
                <w:rFonts w:ascii="宋体" w:hAnsi="宋体" w:hint="eastAsia"/>
                <w:szCs w:val="21"/>
              </w:rPr>
              <w:t>2</w:t>
            </w:r>
            <w:r>
              <w:rPr>
                <w:rFonts w:ascii="宋体" w:hAnsi="宋体"/>
                <w:szCs w:val="21"/>
              </w:rPr>
              <w:t>0</w:t>
            </w:r>
            <w:r>
              <w:rPr>
                <w:rFonts w:ascii="宋体" w:hAnsi="宋体" w:hint="eastAsia"/>
                <w:szCs w:val="21"/>
              </w:rPr>
              <w:t>分）</w:t>
            </w:r>
          </w:p>
        </w:tc>
        <w:tc>
          <w:tcPr>
            <w:tcW w:w="397" w:type="dxa"/>
            <w:noWrap/>
            <w:vAlign w:val="center"/>
          </w:tcPr>
          <w:p w:rsidR="005231A0" w:rsidRDefault="003A798E">
            <w:pPr>
              <w:spacing w:line="360" w:lineRule="auto"/>
              <w:rPr>
                <w:rFonts w:ascii="宋体" w:hAnsi="宋体"/>
                <w:szCs w:val="21"/>
              </w:rPr>
            </w:pPr>
            <w:r>
              <w:rPr>
                <w:rFonts w:ascii="宋体" w:hAnsi="宋体" w:hint="eastAsia"/>
                <w:szCs w:val="21"/>
              </w:rPr>
              <w:t>实施</w:t>
            </w:r>
          </w:p>
          <w:p w:rsidR="005231A0" w:rsidRDefault="003A798E">
            <w:pPr>
              <w:spacing w:line="360" w:lineRule="auto"/>
              <w:rPr>
                <w:rFonts w:ascii="宋体" w:hAnsi="宋体"/>
                <w:szCs w:val="21"/>
              </w:rPr>
            </w:pPr>
            <w:r>
              <w:rPr>
                <w:rFonts w:ascii="宋体" w:hAnsi="宋体" w:hint="eastAsia"/>
                <w:szCs w:val="21"/>
              </w:rPr>
              <w:t>方</w:t>
            </w:r>
            <w:r>
              <w:rPr>
                <w:rFonts w:ascii="宋体" w:hAnsi="宋体" w:hint="eastAsia"/>
                <w:szCs w:val="21"/>
              </w:rPr>
              <w:lastRenderedPageBreak/>
              <w:t>案</w:t>
            </w:r>
          </w:p>
        </w:tc>
        <w:tc>
          <w:tcPr>
            <w:tcW w:w="6659" w:type="dxa"/>
            <w:noWrap/>
            <w:vAlign w:val="center"/>
          </w:tcPr>
          <w:p w:rsidR="005231A0" w:rsidRDefault="003A798E">
            <w:pPr>
              <w:spacing w:line="360" w:lineRule="auto"/>
              <w:rPr>
                <w:rFonts w:ascii="宋体" w:hAnsi="宋体"/>
                <w:szCs w:val="21"/>
              </w:rPr>
            </w:pPr>
            <w:r>
              <w:rPr>
                <w:rFonts w:ascii="宋体" w:hAnsi="宋体" w:hint="eastAsia"/>
                <w:szCs w:val="21"/>
              </w:rPr>
              <w:lastRenderedPageBreak/>
              <w:t>投标人根据用户实际需求针对本项目提供的实施方案中应包括但不限于以下内容：测评实施计划；测评实施流程；测评质量管理；</w:t>
            </w:r>
          </w:p>
          <w:p w:rsidR="005231A0" w:rsidRDefault="003A798E">
            <w:pPr>
              <w:spacing w:line="360" w:lineRule="auto"/>
              <w:rPr>
                <w:rFonts w:ascii="宋体" w:hAnsi="宋体"/>
                <w:szCs w:val="21"/>
              </w:rPr>
            </w:pPr>
            <w:r>
              <w:rPr>
                <w:rFonts w:ascii="宋体" w:hAnsi="宋体" w:hint="eastAsia"/>
                <w:szCs w:val="21"/>
              </w:rPr>
              <w:t>保密管理；测评进度计划；测评人员分工等。评委专家根据使用方</w:t>
            </w:r>
            <w:r>
              <w:rPr>
                <w:rFonts w:ascii="宋体" w:hAnsi="宋体" w:hint="eastAsia"/>
                <w:szCs w:val="21"/>
              </w:rPr>
              <w:lastRenderedPageBreak/>
              <w:t>的实际需求对实施方案的完备性和进度安排的合理性等进行评价，满分</w:t>
            </w:r>
            <w:r>
              <w:rPr>
                <w:rFonts w:ascii="宋体" w:hAnsi="宋体"/>
                <w:szCs w:val="21"/>
              </w:rPr>
              <w:t>10</w:t>
            </w:r>
            <w:r>
              <w:rPr>
                <w:rFonts w:ascii="宋体" w:hAnsi="宋体" w:hint="eastAsia"/>
                <w:szCs w:val="21"/>
              </w:rPr>
              <w:t>分，每缺一项扣</w:t>
            </w:r>
            <w:r>
              <w:rPr>
                <w:rFonts w:ascii="宋体" w:hAnsi="宋体" w:hint="eastAsia"/>
                <w:szCs w:val="21"/>
              </w:rPr>
              <w:t>2</w:t>
            </w:r>
            <w:r>
              <w:rPr>
                <w:rFonts w:ascii="宋体" w:hAnsi="宋体" w:hint="eastAsia"/>
                <w:szCs w:val="21"/>
              </w:rPr>
              <w:t>分、可行性一般扣</w:t>
            </w:r>
            <w:r>
              <w:rPr>
                <w:rFonts w:ascii="宋体" w:hAnsi="宋体" w:hint="eastAsia"/>
                <w:szCs w:val="21"/>
              </w:rPr>
              <w:t>1</w:t>
            </w:r>
            <w:r>
              <w:rPr>
                <w:rFonts w:ascii="宋体" w:hAnsi="宋体" w:hint="eastAsia"/>
                <w:szCs w:val="21"/>
              </w:rPr>
              <w:t>分，扣完为止；</w:t>
            </w:r>
          </w:p>
          <w:p w:rsidR="005231A0" w:rsidRDefault="003A798E">
            <w:pPr>
              <w:spacing w:line="360" w:lineRule="auto"/>
              <w:rPr>
                <w:rFonts w:ascii="宋体" w:hAnsi="宋体"/>
                <w:szCs w:val="21"/>
              </w:rPr>
            </w:pPr>
            <w:r>
              <w:rPr>
                <w:rFonts w:ascii="宋体" w:hAnsi="宋体" w:hint="eastAsia"/>
                <w:szCs w:val="21"/>
              </w:rPr>
              <w:t>未提供对应方案，计</w:t>
            </w:r>
            <w:r>
              <w:rPr>
                <w:rFonts w:ascii="宋体" w:hAnsi="宋体" w:hint="eastAsia"/>
                <w:szCs w:val="21"/>
              </w:rPr>
              <w:t>0</w:t>
            </w:r>
            <w:r>
              <w:rPr>
                <w:rFonts w:ascii="宋体" w:hAnsi="宋体" w:hint="eastAsia"/>
                <w:szCs w:val="21"/>
              </w:rPr>
              <w:t>分。</w:t>
            </w:r>
          </w:p>
        </w:tc>
        <w:tc>
          <w:tcPr>
            <w:tcW w:w="790" w:type="dxa"/>
            <w:noWrap/>
            <w:vAlign w:val="center"/>
          </w:tcPr>
          <w:p w:rsidR="005231A0" w:rsidRDefault="003A798E">
            <w:pPr>
              <w:spacing w:line="360" w:lineRule="auto"/>
              <w:jc w:val="center"/>
              <w:rPr>
                <w:rFonts w:ascii="宋体" w:hAnsi="宋体"/>
                <w:szCs w:val="21"/>
              </w:rPr>
            </w:pPr>
            <w:r>
              <w:rPr>
                <w:rFonts w:ascii="宋体" w:hAnsi="宋体"/>
                <w:szCs w:val="21"/>
              </w:rPr>
              <w:lastRenderedPageBreak/>
              <w:t>10</w:t>
            </w:r>
          </w:p>
        </w:tc>
      </w:tr>
      <w:tr w:rsidR="005231A0">
        <w:trPr>
          <w:trHeight w:val="921"/>
          <w:jc w:val="center"/>
        </w:trPr>
        <w:tc>
          <w:tcPr>
            <w:tcW w:w="694" w:type="dxa"/>
            <w:vMerge/>
            <w:noWrap/>
            <w:vAlign w:val="center"/>
          </w:tcPr>
          <w:p w:rsidR="005231A0" w:rsidRDefault="005231A0">
            <w:pPr>
              <w:spacing w:line="360" w:lineRule="auto"/>
              <w:jc w:val="center"/>
              <w:rPr>
                <w:rFonts w:ascii="宋体" w:hAnsi="宋体"/>
                <w:szCs w:val="21"/>
              </w:rPr>
            </w:pPr>
          </w:p>
        </w:tc>
        <w:tc>
          <w:tcPr>
            <w:tcW w:w="1035" w:type="dxa"/>
            <w:vMerge/>
            <w:noWrap/>
            <w:vAlign w:val="center"/>
          </w:tcPr>
          <w:p w:rsidR="005231A0" w:rsidRDefault="005231A0">
            <w:pPr>
              <w:spacing w:line="360" w:lineRule="auto"/>
              <w:jc w:val="center"/>
              <w:rPr>
                <w:rFonts w:ascii="宋体" w:hAnsi="宋体"/>
                <w:szCs w:val="21"/>
              </w:rPr>
            </w:pPr>
          </w:p>
        </w:tc>
        <w:tc>
          <w:tcPr>
            <w:tcW w:w="397" w:type="dxa"/>
            <w:noWrap/>
            <w:vAlign w:val="center"/>
          </w:tcPr>
          <w:p w:rsidR="005231A0" w:rsidRDefault="003A798E">
            <w:pPr>
              <w:spacing w:line="360" w:lineRule="auto"/>
              <w:rPr>
                <w:rFonts w:ascii="宋体" w:hAnsi="宋体"/>
                <w:szCs w:val="21"/>
              </w:rPr>
            </w:pPr>
            <w:r>
              <w:rPr>
                <w:rFonts w:ascii="宋体" w:hAnsi="宋体" w:hint="eastAsia"/>
                <w:szCs w:val="21"/>
              </w:rPr>
              <w:t>技术</w:t>
            </w:r>
          </w:p>
          <w:p w:rsidR="005231A0" w:rsidRDefault="003A798E">
            <w:pPr>
              <w:spacing w:line="360" w:lineRule="auto"/>
              <w:rPr>
                <w:rFonts w:ascii="宋体" w:hAnsi="宋体"/>
                <w:szCs w:val="21"/>
              </w:rPr>
            </w:pPr>
            <w:r>
              <w:rPr>
                <w:rFonts w:ascii="宋体" w:hAnsi="宋体" w:hint="eastAsia"/>
                <w:szCs w:val="21"/>
              </w:rPr>
              <w:t>人员</w:t>
            </w:r>
          </w:p>
          <w:p w:rsidR="005231A0" w:rsidRDefault="003A798E">
            <w:pPr>
              <w:spacing w:line="360" w:lineRule="auto"/>
              <w:rPr>
                <w:rFonts w:ascii="宋体" w:hAnsi="宋体"/>
                <w:szCs w:val="21"/>
              </w:rPr>
            </w:pPr>
            <w:r>
              <w:rPr>
                <w:rFonts w:ascii="宋体" w:hAnsi="宋体" w:hint="eastAsia"/>
                <w:szCs w:val="21"/>
              </w:rPr>
              <w:t>能力</w:t>
            </w:r>
          </w:p>
        </w:tc>
        <w:tc>
          <w:tcPr>
            <w:tcW w:w="6659" w:type="dxa"/>
            <w:noWrap/>
            <w:vAlign w:val="center"/>
          </w:tcPr>
          <w:p w:rsidR="005231A0" w:rsidRDefault="003A798E">
            <w:pPr>
              <w:spacing w:line="360" w:lineRule="auto"/>
              <w:rPr>
                <w:rFonts w:ascii="宋体" w:hAnsi="宋体"/>
                <w:color w:val="36363D"/>
                <w:szCs w:val="21"/>
              </w:rPr>
            </w:pPr>
            <w:r>
              <w:rPr>
                <w:rFonts w:ascii="宋体" w:hAnsi="宋体" w:hint="eastAsia"/>
                <w:color w:val="36363D"/>
                <w:szCs w:val="21"/>
              </w:rPr>
              <w:t>拟投入本项目的工作人员：</w:t>
            </w:r>
            <w:r>
              <w:rPr>
                <w:rFonts w:ascii="宋体" w:hAnsi="宋体" w:hint="eastAsia"/>
                <w:color w:val="36363D"/>
                <w:szCs w:val="21"/>
              </w:rPr>
              <w:t xml:space="preserve"> </w:t>
            </w:r>
          </w:p>
          <w:p w:rsidR="005231A0" w:rsidRDefault="003A798E">
            <w:pPr>
              <w:spacing w:line="360" w:lineRule="auto"/>
              <w:rPr>
                <w:rFonts w:ascii="宋体" w:hAnsi="宋体"/>
                <w:color w:val="36363D"/>
                <w:szCs w:val="21"/>
              </w:rPr>
            </w:pPr>
            <w:r>
              <w:rPr>
                <w:rFonts w:ascii="宋体" w:hAnsi="宋体" w:hint="eastAsia"/>
                <w:color w:val="36363D"/>
                <w:szCs w:val="21"/>
              </w:rPr>
              <w:t>1.</w:t>
            </w:r>
            <w:r>
              <w:rPr>
                <w:rFonts w:ascii="宋体" w:hAnsi="宋体" w:hint="eastAsia"/>
                <w:color w:val="36363D"/>
                <w:szCs w:val="21"/>
              </w:rPr>
              <w:t>供应商拟投入本项目项目经理具有高级等级保护测评师资质证书，同时具有</w:t>
            </w:r>
            <w:r>
              <w:rPr>
                <w:rFonts w:ascii="宋体" w:hAnsi="宋体" w:hint="eastAsia"/>
                <w:color w:val="36363D"/>
                <w:szCs w:val="21"/>
              </w:rPr>
              <w:t>CDSP</w:t>
            </w:r>
            <w:r>
              <w:rPr>
                <w:rFonts w:ascii="宋体" w:hAnsi="宋体" w:hint="eastAsia"/>
                <w:color w:val="36363D"/>
                <w:szCs w:val="21"/>
              </w:rPr>
              <w:t>（数据安全认证专家）、</w:t>
            </w:r>
            <w:r>
              <w:rPr>
                <w:rFonts w:ascii="宋体" w:hAnsi="宋体" w:hint="eastAsia"/>
                <w:color w:val="36363D"/>
                <w:szCs w:val="21"/>
              </w:rPr>
              <w:t>CDPSE(</w:t>
            </w:r>
            <w:r>
              <w:rPr>
                <w:rFonts w:ascii="宋体" w:hAnsi="宋体" w:hint="eastAsia"/>
                <w:color w:val="36363D"/>
                <w:szCs w:val="21"/>
              </w:rPr>
              <w:t>国际注册数据隐私专家认证</w:t>
            </w:r>
            <w:r>
              <w:rPr>
                <w:rFonts w:ascii="宋体" w:hAnsi="宋体" w:hint="eastAsia"/>
                <w:color w:val="36363D"/>
                <w:szCs w:val="21"/>
              </w:rPr>
              <w:t>)</w:t>
            </w:r>
            <w:r>
              <w:rPr>
                <w:rFonts w:ascii="宋体" w:hAnsi="宋体" w:hint="eastAsia"/>
                <w:color w:val="36363D"/>
                <w:szCs w:val="21"/>
              </w:rPr>
              <w:t>、</w:t>
            </w:r>
            <w:r>
              <w:rPr>
                <w:rFonts w:ascii="宋体" w:hAnsi="宋体" w:hint="eastAsia"/>
                <w:color w:val="36363D"/>
                <w:szCs w:val="21"/>
              </w:rPr>
              <w:t>CIIP-D</w:t>
            </w:r>
            <w:r>
              <w:rPr>
                <w:rFonts w:ascii="宋体" w:hAnsi="宋体" w:hint="eastAsia"/>
                <w:color w:val="36363D"/>
                <w:szCs w:val="21"/>
              </w:rPr>
              <w:t>（国家重要信息系统保护人员证书），满足以上</w:t>
            </w:r>
            <w:r>
              <w:rPr>
                <w:rFonts w:ascii="宋体" w:hAnsi="宋体"/>
                <w:color w:val="36363D"/>
                <w:szCs w:val="21"/>
              </w:rPr>
              <w:t>4</w:t>
            </w:r>
            <w:r>
              <w:rPr>
                <w:rFonts w:ascii="宋体" w:hAnsi="宋体" w:hint="eastAsia"/>
                <w:color w:val="36363D"/>
                <w:szCs w:val="21"/>
              </w:rPr>
              <w:t>个资质证书计</w:t>
            </w:r>
            <w:r>
              <w:rPr>
                <w:rFonts w:ascii="宋体" w:hAnsi="宋体"/>
                <w:color w:val="36363D"/>
                <w:szCs w:val="21"/>
              </w:rPr>
              <w:t>4</w:t>
            </w:r>
            <w:r>
              <w:rPr>
                <w:rFonts w:ascii="宋体" w:hAnsi="宋体" w:hint="eastAsia"/>
                <w:color w:val="36363D"/>
                <w:szCs w:val="21"/>
              </w:rPr>
              <w:t>分，</w:t>
            </w:r>
            <w:r>
              <w:rPr>
                <w:rFonts w:ascii="宋体" w:hAnsi="宋体" w:hint="eastAsia"/>
                <w:color w:val="36363D"/>
                <w:szCs w:val="21"/>
              </w:rPr>
              <w:t>3</w:t>
            </w:r>
            <w:r>
              <w:rPr>
                <w:rFonts w:ascii="宋体" w:hAnsi="宋体" w:hint="eastAsia"/>
                <w:color w:val="36363D"/>
                <w:szCs w:val="21"/>
              </w:rPr>
              <w:t>个计</w:t>
            </w:r>
            <w:r>
              <w:rPr>
                <w:rFonts w:ascii="宋体" w:hAnsi="宋体"/>
                <w:color w:val="36363D"/>
                <w:szCs w:val="21"/>
              </w:rPr>
              <w:t>3</w:t>
            </w:r>
            <w:r>
              <w:rPr>
                <w:rFonts w:ascii="宋体" w:hAnsi="宋体" w:hint="eastAsia"/>
                <w:color w:val="36363D"/>
                <w:szCs w:val="21"/>
              </w:rPr>
              <w:t>分，</w:t>
            </w:r>
            <w:r>
              <w:rPr>
                <w:rFonts w:ascii="宋体" w:hAnsi="宋体" w:hint="eastAsia"/>
                <w:color w:val="36363D"/>
                <w:szCs w:val="21"/>
              </w:rPr>
              <w:t>2</w:t>
            </w:r>
            <w:r>
              <w:rPr>
                <w:rFonts w:ascii="宋体" w:hAnsi="宋体" w:hint="eastAsia"/>
                <w:color w:val="36363D"/>
                <w:szCs w:val="21"/>
              </w:rPr>
              <w:t>个计</w:t>
            </w:r>
            <w:r>
              <w:rPr>
                <w:rFonts w:ascii="宋体" w:hAnsi="宋体" w:hint="eastAsia"/>
                <w:color w:val="36363D"/>
                <w:szCs w:val="21"/>
              </w:rPr>
              <w:t>2</w:t>
            </w:r>
            <w:r>
              <w:rPr>
                <w:rFonts w:ascii="宋体" w:hAnsi="宋体" w:hint="eastAsia"/>
                <w:color w:val="36363D"/>
                <w:szCs w:val="21"/>
              </w:rPr>
              <w:t>分，</w:t>
            </w:r>
            <w:r>
              <w:rPr>
                <w:rFonts w:ascii="宋体" w:hAnsi="宋体" w:hint="eastAsia"/>
                <w:color w:val="36363D"/>
                <w:szCs w:val="21"/>
              </w:rPr>
              <w:t>1</w:t>
            </w:r>
            <w:r>
              <w:rPr>
                <w:rFonts w:ascii="宋体" w:hAnsi="宋体" w:hint="eastAsia"/>
                <w:color w:val="36363D"/>
                <w:szCs w:val="21"/>
              </w:rPr>
              <w:t>个计</w:t>
            </w:r>
            <w:r>
              <w:rPr>
                <w:rFonts w:ascii="宋体" w:hAnsi="宋体" w:hint="eastAsia"/>
                <w:color w:val="36363D"/>
                <w:szCs w:val="21"/>
              </w:rPr>
              <w:t>1</w:t>
            </w:r>
            <w:r>
              <w:rPr>
                <w:rFonts w:ascii="宋体" w:hAnsi="宋体" w:hint="eastAsia"/>
                <w:color w:val="36363D"/>
                <w:szCs w:val="21"/>
              </w:rPr>
              <w:t>分。</w:t>
            </w:r>
          </w:p>
          <w:p w:rsidR="005231A0" w:rsidRDefault="003A798E">
            <w:pPr>
              <w:spacing w:line="360" w:lineRule="auto"/>
              <w:rPr>
                <w:rFonts w:ascii="宋体" w:hAnsi="宋体"/>
                <w:color w:val="36363D"/>
                <w:szCs w:val="21"/>
              </w:rPr>
            </w:pPr>
            <w:r>
              <w:rPr>
                <w:rFonts w:ascii="宋体" w:hAnsi="宋体" w:hint="eastAsia"/>
                <w:color w:val="36363D"/>
                <w:szCs w:val="21"/>
              </w:rPr>
              <w:t>（提供有效期内的相应证书复印件并加盖供应商公章，同时提供相应人员在投标单位购买近三个月社会保险的证明，否则不计分。）</w:t>
            </w:r>
          </w:p>
          <w:p w:rsidR="005231A0" w:rsidRDefault="005231A0" w:rsidP="00C34213">
            <w:pPr>
              <w:pStyle w:val="2"/>
              <w:spacing w:after="312"/>
              <w:ind w:left="420" w:firstLine="480"/>
              <w:rPr>
                <w:color w:val="36363D"/>
              </w:rPr>
            </w:pPr>
          </w:p>
          <w:p w:rsidR="005231A0" w:rsidRDefault="003A798E">
            <w:pPr>
              <w:spacing w:line="360" w:lineRule="auto"/>
              <w:rPr>
                <w:rFonts w:ascii="宋体" w:hAnsi="宋体"/>
                <w:color w:val="36363D"/>
                <w:szCs w:val="21"/>
              </w:rPr>
            </w:pPr>
            <w:r>
              <w:rPr>
                <w:rFonts w:ascii="宋体" w:hAnsi="宋体" w:hint="eastAsia"/>
                <w:color w:val="36363D"/>
                <w:szCs w:val="21"/>
              </w:rPr>
              <w:t>2.</w:t>
            </w:r>
            <w:r>
              <w:rPr>
                <w:rFonts w:ascii="宋体" w:hAnsi="宋体" w:hint="eastAsia"/>
                <w:color w:val="36363D"/>
                <w:szCs w:val="21"/>
              </w:rPr>
              <w:t>供应商拟投入本项目的实施成员（不含项目经理）：具有信息安全等级测评师资质证书</w:t>
            </w:r>
            <w:r>
              <w:rPr>
                <w:rFonts w:ascii="宋体" w:hAnsi="宋体" w:hint="eastAsia"/>
                <w:color w:val="36363D"/>
                <w:szCs w:val="21"/>
              </w:rPr>
              <w:t>(</w:t>
            </w:r>
            <w:r>
              <w:rPr>
                <w:rFonts w:ascii="宋体" w:hAnsi="宋体" w:hint="eastAsia"/>
                <w:color w:val="36363D"/>
                <w:szCs w:val="21"/>
              </w:rPr>
              <w:t>中级及以上</w:t>
            </w:r>
            <w:r>
              <w:rPr>
                <w:rFonts w:ascii="宋体" w:hAnsi="宋体" w:hint="eastAsia"/>
                <w:color w:val="36363D"/>
                <w:szCs w:val="21"/>
              </w:rPr>
              <w:t>)</w:t>
            </w:r>
            <w:r>
              <w:rPr>
                <w:rFonts w:ascii="宋体" w:hAnsi="宋体" w:hint="eastAsia"/>
                <w:color w:val="36363D"/>
                <w:szCs w:val="21"/>
              </w:rPr>
              <w:t>，同时成员所持证书覆盖</w:t>
            </w:r>
            <w:r>
              <w:rPr>
                <w:rFonts w:ascii="宋体" w:hAnsi="宋体" w:hint="eastAsia"/>
                <w:color w:val="36363D"/>
                <w:szCs w:val="21"/>
              </w:rPr>
              <w:t>PMP</w:t>
            </w:r>
            <w:r>
              <w:rPr>
                <w:rFonts w:ascii="宋体" w:hAnsi="宋体" w:hint="eastAsia"/>
                <w:color w:val="36363D"/>
                <w:szCs w:val="21"/>
              </w:rPr>
              <w:t>证书、</w:t>
            </w:r>
            <w:r>
              <w:rPr>
                <w:rFonts w:ascii="宋体" w:hAnsi="宋体" w:hint="eastAsia"/>
                <w:color w:val="36363D"/>
                <w:szCs w:val="21"/>
              </w:rPr>
              <w:t>CDSP</w:t>
            </w:r>
            <w:r>
              <w:rPr>
                <w:rFonts w:ascii="宋体" w:hAnsi="宋体" w:hint="eastAsia"/>
                <w:color w:val="36363D"/>
                <w:szCs w:val="21"/>
              </w:rPr>
              <w:t>（数据安全认证专家）证书、</w:t>
            </w:r>
            <w:r>
              <w:rPr>
                <w:rFonts w:ascii="宋体" w:hAnsi="宋体" w:hint="eastAsia"/>
                <w:color w:val="36363D"/>
                <w:szCs w:val="21"/>
              </w:rPr>
              <w:t>CISP</w:t>
            </w:r>
            <w:r>
              <w:rPr>
                <w:rFonts w:ascii="宋体" w:hAnsi="宋体" w:hint="eastAsia"/>
                <w:color w:val="36363D"/>
                <w:szCs w:val="21"/>
              </w:rPr>
              <w:t>证书（注册信息安全专业人员）、</w:t>
            </w:r>
            <w:r>
              <w:rPr>
                <w:rFonts w:ascii="宋体" w:hAnsi="宋体" w:hint="eastAsia"/>
                <w:color w:val="36363D"/>
                <w:szCs w:val="21"/>
              </w:rPr>
              <w:t>DSA</w:t>
            </w:r>
            <w:r>
              <w:rPr>
                <w:rFonts w:ascii="宋体" w:hAnsi="宋体" w:hint="eastAsia"/>
                <w:color w:val="36363D"/>
                <w:szCs w:val="21"/>
              </w:rPr>
              <w:t>（数据安全评估师证书）、</w:t>
            </w:r>
            <w:r>
              <w:rPr>
                <w:rFonts w:ascii="宋体" w:hAnsi="宋体" w:hint="eastAsia"/>
                <w:color w:val="36363D"/>
                <w:szCs w:val="21"/>
              </w:rPr>
              <w:t>CCRC-DSO</w:t>
            </w:r>
            <w:r>
              <w:rPr>
                <w:rFonts w:ascii="宋体" w:hAnsi="宋体" w:hint="eastAsia"/>
                <w:color w:val="36363D"/>
                <w:szCs w:val="21"/>
              </w:rPr>
              <w:t>（数据安全官证书）、信息安全工程师，每提供一个证书计</w:t>
            </w:r>
            <w:r>
              <w:rPr>
                <w:rFonts w:ascii="宋体" w:hAnsi="宋体" w:hint="eastAsia"/>
                <w:color w:val="36363D"/>
                <w:szCs w:val="21"/>
              </w:rPr>
              <w:t>1</w:t>
            </w:r>
            <w:r>
              <w:rPr>
                <w:rFonts w:ascii="宋体" w:hAnsi="宋体" w:hint="eastAsia"/>
                <w:color w:val="36363D"/>
                <w:szCs w:val="21"/>
              </w:rPr>
              <w:t>分，最多计</w:t>
            </w:r>
            <w:r>
              <w:rPr>
                <w:rFonts w:ascii="宋体" w:hAnsi="宋体"/>
                <w:color w:val="36363D"/>
                <w:szCs w:val="21"/>
              </w:rPr>
              <w:t>6</w:t>
            </w:r>
            <w:r>
              <w:rPr>
                <w:rFonts w:ascii="宋体" w:hAnsi="宋体" w:hint="eastAsia"/>
                <w:color w:val="36363D"/>
                <w:szCs w:val="21"/>
              </w:rPr>
              <w:t>分。</w:t>
            </w:r>
          </w:p>
          <w:p w:rsidR="005231A0" w:rsidRDefault="003A798E">
            <w:pPr>
              <w:spacing w:line="360" w:lineRule="auto"/>
              <w:rPr>
                <w:rFonts w:ascii="宋体" w:hAnsi="宋体"/>
                <w:color w:val="36363D"/>
                <w:szCs w:val="21"/>
              </w:rPr>
            </w:pPr>
            <w:r>
              <w:rPr>
                <w:rFonts w:ascii="宋体" w:hAnsi="宋体" w:hint="eastAsia"/>
                <w:color w:val="36363D"/>
                <w:szCs w:val="21"/>
              </w:rPr>
              <w:t>（提供有效期内的相应证书复印件并加盖供应商公章，同时提供相应人员在投标单位购买近三个月社会保险的证明，否则不计分。同一证书不可重复计分。）</w:t>
            </w:r>
          </w:p>
        </w:tc>
        <w:tc>
          <w:tcPr>
            <w:tcW w:w="790" w:type="dxa"/>
            <w:noWrap/>
            <w:vAlign w:val="center"/>
          </w:tcPr>
          <w:p w:rsidR="005231A0" w:rsidRDefault="003A798E">
            <w:pPr>
              <w:spacing w:line="360" w:lineRule="auto"/>
              <w:jc w:val="center"/>
              <w:rPr>
                <w:rFonts w:ascii="宋体" w:hAnsi="宋体"/>
                <w:szCs w:val="21"/>
              </w:rPr>
            </w:pPr>
            <w:r>
              <w:rPr>
                <w:rFonts w:ascii="宋体" w:hAnsi="宋体" w:hint="eastAsia"/>
                <w:szCs w:val="21"/>
              </w:rPr>
              <w:t>1</w:t>
            </w:r>
            <w:r>
              <w:rPr>
                <w:rFonts w:ascii="宋体" w:hAnsi="宋体"/>
                <w:szCs w:val="21"/>
              </w:rPr>
              <w:t>0</w:t>
            </w:r>
          </w:p>
        </w:tc>
      </w:tr>
    </w:tbl>
    <w:p w:rsidR="005231A0" w:rsidRDefault="005231A0" w:rsidP="005231A0">
      <w:pPr>
        <w:pStyle w:val="2"/>
        <w:spacing w:after="312"/>
      </w:pPr>
      <w:bookmarkStart w:id="0" w:name="_GoBack"/>
      <w:bookmarkEnd w:id="0"/>
    </w:p>
    <w:sectPr w:rsidR="005231A0" w:rsidSect="005231A0">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98E" w:rsidRDefault="003A798E" w:rsidP="005231A0">
      <w:pPr>
        <w:spacing w:after="0"/>
      </w:pPr>
      <w:r>
        <w:separator/>
      </w:r>
    </w:p>
  </w:endnote>
  <w:endnote w:type="continuationSeparator" w:id="1">
    <w:p w:rsidR="003A798E" w:rsidRDefault="003A798E" w:rsidP="005231A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98E" w:rsidRDefault="003A798E">
      <w:pPr>
        <w:spacing w:after="0"/>
      </w:pPr>
      <w:r>
        <w:separator/>
      </w:r>
    </w:p>
  </w:footnote>
  <w:footnote w:type="continuationSeparator" w:id="1">
    <w:p w:rsidR="003A798E" w:rsidRDefault="003A798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A0" w:rsidRDefault="003A798E">
    <w:pPr>
      <w:pStyle w:val="a6"/>
      <w:jc w:val="right"/>
    </w:pPr>
    <w:r>
      <w:rPr>
        <w:rFonts w:hint="eastAsia"/>
      </w:rPr>
      <w:t>档案编号：</w:t>
    </w:r>
    <w:r>
      <w:rPr>
        <w:rFonts w:hint="eastAsia"/>
      </w:rPr>
      <w:t>2024-C-4</w:t>
    </w:r>
  </w:p>
  <w:p w:rsidR="005231A0" w:rsidRDefault="005231A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31A0"/>
    <w:rsid w:val="003A798E"/>
    <w:rsid w:val="005231A0"/>
    <w:rsid w:val="00C34213"/>
    <w:rsid w:val="4C7310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231A0"/>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rsid w:val="005231A0"/>
    <w:pPr>
      <w:spacing w:afterLines="100" w:line="360" w:lineRule="auto"/>
      <w:ind w:leftChars="0" w:left="0"/>
    </w:pPr>
    <w:rPr>
      <w:rFonts w:asciiTheme="majorEastAsia" w:eastAsiaTheme="majorEastAsia" w:hAnsiTheme="majorEastAsia"/>
      <w:kern w:val="28"/>
      <w:sz w:val="28"/>
      <w:szCs w:val="28"/>
    </w:rPr>
  </w:style>
  <w:style w:type="paragraph" w:styleId="a3">
    <w:name w:val="Body Text Indent"/>
    <w:basedOn w:val="a"/>
    <w:next w:val="a"/>
    <w:qFormat/>
    <w:rsid w:val="005231A0"/>
    <w:pPr>
      <w:spacing w:after="120"/>
      <w:ind w:leftChars="200" w:left="420"/>
    </w:pPr>
  </w:style>
  <w:style w:type="paragraph" w:styleId="a4">
    <w:name w:val="Normal Indent"/>
    <w:basedOn w:val="a"/>
    <w:qFormat/>
    <w:rsid w:val="005231A0"/>
    <w:pPr>
      <w:ind w:firstLine="420"/>
    </w:pPr>
    <w:rPr>
      <w:sz w:val="20"/>
      <w:szCs w:val="20"/>
    </w:rPr>
  </w:style>
  <w:style w:type="paragraph" w:styleId="a5">
    <w:name w:val="footer"/>
    <w:basedOn w:val="a"/>
    <w:rsid w:val="005231A0"/>
    <w:pPr>
      <w:tabs>
        <w:tab w:val="center" w:pos="4153"/>
        <w:tab w:val="right" w:pos="8306"/>
      </w:tabs>
    </w:pPr>
    <w:rPr>
      <w:sz w:val="18"/>
    </w:rPr>
  </w:style>
  <w:style w:type="paragraph" w:styleId="a6">
    <w:name w:val="header"/>
    <w:basedOn w:val="a"/>
    <w:uiPriority w:val="99"/>
    <w:qFormat/>
    <w:rsid w:val="005231A0"/>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249</Words>
  <Characters>1423</Characters>
  <Application>Microsoft Office Word</Application>
  <DocSecurity>0</DocSecurity>
  <Lines>11</Lines>
  <Paragraphs>3</Paragraphs>
  <ScaleCrop>false</ScaleCrop>
  <Company>微软中国</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2024-06-20T07:28:00Z</dcterms:created>
  <dcterms:modified xsi:type="dcterms:W3CDTF">2024-06-20T07:28:00Z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8FBCEC7E9A0F4FF881F207295D17E97E</vt:lpwstr>
  </property>
</Properties>
</file>