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11797F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11797F">
        <w:rPr>
          <w:rFonts w:ascii="黑体" w:eastAsia="黑体" w:hAnsi="黑体" w:cs="宋体" w:hint="eastAsia"/>
          <w:kern w:val="0"/>
          <w:sz w:val="44"/>
          <w:szCs w:val="44"/>
        </w:rPr>
        <w:t>二合一婴儿培养箱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0D6CE0" w:rsidRPr="000D6CE0">
        <w:rPr>
          <w:rFonts w:hint="eastAsia"/>
          <w:sz w:val="24"/>
          <w:szCs w:val="24"/>
        </w:rPr>
        <w:t>二合一婴儿培养箱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0D6CE0">
        <w:rPr>
          <w:sz w:val="24"/>
          <w:szCs w:val="24"/>
        </w:rPr>
        <w:t>20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76"/>
        <w:gridCol w:w="709"/>
        <w:gridCol w:w="1276"/>
        <w:gridCol w:w="1417"/>
        <w:gridCol w:w="1418"/>
      </w:tblGrid>
      <w:tr w:rsidR="00685B42" w:rsidTr="00184F08">
        <w:tc>
          <w:tcPr>
            <w:tcW w:w="127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9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184F08">
        <w:tc>
          <w:tcPr>
            <w:tcW w:w="1277" w:type="dxa"/>
            <w:vAlign w:val="center"/>
          </w:tcPr>
          <w:p w:rsidR="00685B42" w:rsidRDefault="00184F08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新生儿科</w:t>
            </w:r>
          </w:p>
        </w:tc>
        <w:tc>
          <w:tcPr>
            <w:tcW w:w="2976" w:type="dxa"/>
            <w:vAlign w:val="center"/>
          </w:tcPr>
          <w:p w:rsidR="00685B42" w:rsidRPr="00E56A79" w:rsidRDefault="00184F08" w:rsidP="00E56A79">
            <w:pPr>
              <w:widowControl/>
              <w:rPr>
                <w:sz w:val="24"/>
                <w:szCs w:val="24"/>
              </w:rPr>
            </w:pPr>
            <w:r w:rsidRPr="00184F08">
              <w:rPr>
                <w:rFonts w:hint="eastAsia"/>
                <w:sz w:val="24"/>
                <w:szCs w:val="24"/>
              </w:rPr>
              <w:t>二合一婴儿培养箱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0D6CE0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B140E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0D6CE0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F4483">
              <w:rPr>
                <w:sz w:val="24"/>
                <w:szCs w:val="24"/>
              </w:rPr>
              <w:t>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637FB4" w:rsidRDefault="006D1306" w:rsidP="00637FB4">
      <w:pPr>
        <w:pStyle w:val="ac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637FB4">
        <w:rPr>
          <w:rFonts w:ascii="宋体" w:hAnsi="宋体" w:cs="宋体" w:hint="eastAsia"/>
          <w:sz w:val="24"/>
        </w:rPr>
        <w:t>参数</w:t>
      </w:r>
      <w:r w:rsidRPr="00637FB4">
        <w:rPr>
          <w:rFonts w:ascii="宋体" w:hAnsi="宋体" w:cs="宋体"/>
          <w:sz w:val="24"/>
        </w:rPr>
        <w:t>要求</w:t>
      </w:r>
    </w:p>
    <w:p w:rsidR="00637FB4" w:rsidRPr="00637FB4" w:rsidRDefault="00637FB4" w:rsidP="00637FB4">
      <w:pPr>
        <w:pStyle w:val="ac"/>
        <w:numPr>
          <w:ilvl w:val="0"/>
          <w:numId w:val="28"/>
        </w:numPr>
        <w:spacing w:line="360" w:lineRule="auto"/>
        <w:ind w:firstLineChars="0"/>
        <w:rPr>
          <w:rFonts w:asciiTheme="minorEastAsia" w:eastAsiaTheme="minorEastAsia" w:hAnsiTheme="minorEastAsia" w:cs="微软雅黑"/>
          <w:bCs/>
          <w:sz w:val="24"/>
        </w:rPr>
      </w:pPr>
      <w:r w:rsidRPr="00637FB4">
        <w:rPr>
          <w:rFonts w:asciiTheme="minorEastAsia" w:eastAsiaTheme="minorEastAsia" w:hAnsiTheme="minorEastAsia" w:cs="微软雅黑" w:hint="eastAsia"/>
          <w:bCs/>
          <w:sz w:val="24"/>
        </w:rPr>
        <w:t>培养箱控温方式：箱温和</w:t>
      </w:r>
      <w:proofErr w:type="gramStart"/>
      <w:r w:rsidRPr="00637FB4">
        <w:rPr>
          <w:rFonts w:asciiTheme="minorEastAsia" w:eastAsiaTheme="minorEastAsia" w:hAnsiTheme="minorEastAsia" w:cs="微软雅黑" w:hint="eastAsia"/>
          <w:bCs/>
          <w:sz w:val="24"/>
        </w:rPr>
        <w:t>肤温两种</w:t>
      </w:r>
      <w:proofErr w:type="gramEnd"/>
      <w:r w:rsidRPr="00637FB4">
        <w:rPr>
          <w:rFonts w:asciiTheme="minorEastAsia" w:eastAsiaTheme="minorEastAsia" w:hAnsiTheme="minorEastAsia" w:cs="微软雅黑" w:hint="eastAsia"/>
          <w:bCs/>
          <w:sz w:val="24"/>
        </w:rPr>
        <w:t>温度控制</w:t>
      </w:r>
    </w:p>
    <w:p w:rsidR="00637FB4" w:rsidRPr="00637FB4" w:rsidRDefault="00637FB4" w:rsidP="00637FB4">
      <w:pPr>
        <w:pStyle w:val="ac"/>
        <w:numPr>
          <w:ilvl w:val="0"/>
          <w:numId w:val="28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hint="eastAsia"/>
          <w:bCs/>
          <w:sz w:val="24"/>
        </w:rPr>
        <w:t>★</w:t>
      </w:r>
      <w:r w:rsidRPr="00637FB4">
        <w:rPr>
          <w:rFonts w:asciiTheme="minorEastAsia" w:eastAsiaTheme="minorEastAsia" w:hAnsiTheme="minorEastAsia" w:cs="微软雅黑" w:hint="eastAsia"/>
          <w:sz w:val="24"/>
        </w:rPr>
        <w:t>具有培养箱和辐射</w:t>
      </w:r>
      <w:proofErr w:type="gramStart"/>
      <w:r w:rsidRPr="00637FB4">
        <w:rPr>
          <w:rFonts w:asciiTheme="minorEastAsia" w:eastAsiaTheme="minorEastAsia" w:hAnsiTheme="minorEastAsia" w:cs="微软雅黑" w:hint="eastAsia"/>
          <w:sz w:val="24"/>
        </w:rPr>
        <w:t>保暖台</w:t>
      </w:r>
      <w:proofErr w:type="gramEnd"/>
      <w:r w:rsidRPr="00637FB4">
        <w:rPr>
          <w:rFonts w:asciiTheme="minorEastAsia" w:eastAsiaTheme="minorEastAsia" w:hAnsiTheme="minorEastAsia" w:cs="微软雅黑" w:hint="eastAsia"/>
          <w:sz w:val="24"/>
        </w:rPr>
        <w:t>工作模式</w:t>
      </w:r>
    </w:p>
    <w:p w:rsidR="00637FB4" w:rsidRPr="00637FB4" w:rsidRDefault="00637FB4" w:rsidP="00637FB4">
      <w:pPr>
        <w:spacing w:line="360" w:lineRule="auto"/>
        <w:rPr>
          <w:rFonts w:asciiTheme="minorEastAsia" w:eastAsiaTheme="minorEastAsia" w:hAnsiTheme="minorEastAsia" w:cs="微软雅黑"/>
          <w:bCs/>
          <w:sz w:val="24"/>
          <w:szCs w:val="24"/>
        </w:rPr>
      </w:pPr>
      <w:r w:rsidRPr="00637FB4">
        <w:rPr>
          <w:rFonts w:asciiTheme="minorEastAsia" w:eastAsiaTheme="minorEastAsia" w:hAnsiTheme="minorEastAsia" w:cs="微软雅黑" w:hint="eastAsia"/>
          <w:bCs/>
          <w:sz w:val="24"/>
          <w:szCs w:val="24"/>
        </w:rPr>
        <w:t>3、</w:t>
      </w:r>
      <w:r w:rsidRPr="00637FB4">
        <w:rPr>
          <w:rFonts w:asciiTheme="minorEastAsia" w:eastAsiaTheme="minorEastAsia" w:hAnsiTheme="minorEastAsia" w:cs="微软雅黑" w:hint="eastAsia"/>
          <w:bCs/>
          <w:sz w:val="24"/>
          <w:szCs w:val="24"/>
        </w:rPr>
        <w:t>箱温控制范围: 25℃～37℃，升温时间: ≤40min，皮肤温度传感器精度: ≥±0.2℃内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bCs/>
          <w:i/>
          <w:iCs/>
          <w:sz w:val="24"/>
        </w:rPr>
      </w:pPr>
      <w:r w:rsidRPr="00637FB4">
        <w:rPr>
          <w:rFonts w:asciiTheme="minorEastAsia" w:eastAsiaTheme="minorEastAsia" w:hAnsiTheme="minorEastAsia" w:cs="微软雅黑" w:hint="eastAsia"/>
          <w:bCs/>
          <w:sz w:val="24"/>
        </w:rPr>
        <w:lastRenderedPageBreak/>
        <w:t>湿度显示范围: 0%RH～99%RH，湿度控制范围: 0%RH～90%RH，湿度控制精度: ≥±5%RH内，湿度显示精度: ≥±5%RH内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bCs/>
          <w:sz w:val="24"/>
        </w:rPr>
      </w:pPr>
      <w:proofErr w:type="gramStart"/>
      <w:r w:rsidRPr="00637FB4">
        <w:rPr>
          <w:rFonts w:asciiTheme="minorEastAsia" w:eastAsiaTheme="minorEastAsia" w:hAnsiTheme="minorEastAsia" w:cs="微软雅黑" w:hint="eastAsia"/>
          <w:bCs/>
          <w:sz w:val="24"/>
        </w:rPr>
        <w:t>保暖台</w:t>
      </w:r>
      <w:proofErr w:type="gramEnd"/>
      <w:r w:rsidRPr="00637FB4">
        <w:rPr>
          <w:rFonts w:asciiTheme="minorEastAsia" w:eastAsiaTheme="minorEastAsia" w:hAnsiTheme="minorEastAsia" w:cs="微软雅黑" w:hint="eastAsia"/>
          <w:bCs/>
          <w:sz w:val="24"/>
        </w:rPr>
        <w:t>控温方式：预热、手控、</w:t>
      </w:r>
      <w:proofErr w:type="gramStart"/>
      <w:r w:rsidRPr="00637FB4">
        <w:rPr>
          <w:rFonts w:asciiTheme="minorEastAsia" w:eastAsiaTheme="minorEastAsia" w:hAnsiTheme="minorEastAsia" w:cs="微软雅黑" w:hint="eastAsia"/>
          <w:bCs/>
          <w:sz w:val="24"/>
        </w:rPr>
        <w:t>肤温三种</w:t>
      </w:r>
      <w:proofErr w:type="gramEnd"/>
      <w:r w:rsidRPr="00637FB4">
        <w:rPr>
          <w:rFonts w:asciiTheme="minorEastAsia" w:eastAsiaTheme="minorEastAsia" w:hAnsiTheme="minorEastAsia" w:cs="微软雅黑" w:hint="eastAsia"/>
          <w:bCs/>
          <w:sz w:val="24"/>
        </w:rPr>
        <w:t>控制方式，</w:t>
      </w:r>
      <w:r w:rsidRPr="00637FB4">
        <w:rPr>
          <w:rFonts w:asciiTheme="minorEastAsia" w:eastAsiaTheme="minorEastAsia" w:hAnsiTheme="minorEastAsia" w:cs="微软雅黑" w:hint="eastAsia"/>
          <w:sz w:val="24"/>
        </w:rPr>
        <w:t>肤温控温范围：32℃～37.5℃</w:t>
      </w:r>
      <w:r w:rsidRPr="00637FB4">
        <w:rPr>
          <w:rFonts w:asciiTheme="minorEastAsia" w:eastAsiaTheme="minorEastAsia" w:hAnsiTheme="minorEastAsia" w:cs="微软雅黑" w:hint="eastAsia"/>
          <w:sz w:val="24"/>
        </w:rPr>
        <w:t>，</w:t>
      </w:r>
      <w:r w:rsidRPr="00637FB4">
        <w:rPr>
          <w:rFonts w:asciiTheme="minorEastAsia" w:eastAsiaTheme="minorEastAsia" w:hAnsiTheme="minorEastAsia" w:cs="微软雅黑" w:hint="eastAsia"/>
          <w:sz w:val="24"/>
        </w:rPr>
        <w:t xml:space="preserve">控温精度：≤0.5℃，床面温度均匀性：≤2℃ 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bCs/>
          <w:sz w:val="24"/>
        </w:rPr>
      </w:pPr>
      <w:r w:rsidRPr="00637FB4">
        <w:rPr>
          <w:rFonts w:asciiTheme="minorEastAsia" w:eastAsiaTheme="minorEastAsia" w:hAnsiTheme="minorEastAsia" w:cs="微软雅黑" w:hint="eastAsia"/>
          <w:bCs/>
          <w:sz w:val="24"/>
        </w:rPr>
        <w:t>婴儿床倾斜角度: 无级可调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 w:hint="eastAsia"/>
          <w:bCs/>
          <w:sz w:val="24"/>
        </w:rPr>
        <w:t>婴儿舱内噪声: ≤50dB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宋体" w:hint="eastAsia"/>
          <w:sz w:val="24"/>
        </w:rPr>
        <w:t>▲</w:t>
      </w:r>
      <w:r w:rsidRPr="00637FB4">
        <w:rPr>
          <w:rFonts w:asciiTheme="minorEastAsia" w:eastAsiaTheme="minorEastAsia" w:hAnsiTheme="minorEastAsia" w:cs="微软雅黑" w:hint="eastAsia"/>
          <w:sz w:val="24"/>
        </w:rPr>
        <w:t>可通过手控按钮和脚踏两种电动方式进行培养箱跟</w:t>
      </w:r>
      <w:proofErr w:type="gramStart"/>
      <w:r w:rsidRPr="00637FB4">
        <w:rPr>
          <w:rFonts w:asciiTheme="minorEastAsia" w:eastAsiaTheme="minorEastAsia" w:hAnsiTheme="minorEastAsia" w:cs="微软雅黑" w:hint="eastAsia"/>
          <w:sz w:val="24"/>
        </w:rPr>
        <w:t>辐射台模式</w:t>
      </w:r>
      <w:proofErr w:type="gramEnd"/>
      <w:r w:rsidRPr="00637FB4">
        <w:rPr>
          <w:rFonts w:asciiTheme="minorEastAsia" w:eastAsiaTheme="minorEastAsia" w:hAnsiTheme="minorEastAsia" w:cs="微软雅黑" w:hint="eastAsia"/>
          <w:sz w:val="24"/>
        </w:rPr>
        <w:t>转换；</w:t>
      </w:r>
    </w:p>
    <w:p w:rsidR="00637FB4" w:rsidRPr="00637FB4" w:rsidRDefault="00637FB4" w:rsidP="00637FB4">
      <w:pPr>
        <w:pStyle w:val="ac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 w:hint="eastAsia"/>
          <w:sz w:val="24"/>
        </w:rPr>
        <w:t>采用EPU床垫；</w:t>
      </w:r>
    </w:p>
    <w:p w:rsidR="00637FB4" w:rsidRPr="00637FB4" w:rsidRDefault="00637FB4" w:rsidP="00637FB4">
      <w:pPr>
        <w:pStyle w:val="ac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宋体" w:hint="eastAsia"/>
          <w:sz w:val="24"/>
        </w:rPr>
        <w:t>▲</w:t>
      </w:r>
      <w:proofErr w:type="gramStart"/>
      <w:r w:rsidRPr="00637FB4">
        <w:rPr>
          <w:rFonts w:asciiTheme="minorEastAsia" w:eastAsiaTheme="minorEastAsia" w:hAnsiTheme="minorEastAsia" w:cs="微软雅黑" w:hint="eastAsia"/>
          <w:sz w:val="24"/>
        </w:rPr>
        <w:t>保暖台</w:t>
      </w:r>
      <w:proofErr w:type="gramEnd"/>
      <w:r w:rsidRPr="00637FB4">
        <w:rPr>
          <w:rFonts w:asciiTheme="minorEastAsia" w:eastAsiaTheme="minorEastAsia" w:hAnsiTheme="minorEastAsia" w:cs="微软雅黑" w:hint="eastAsia"/>
          <w:sz w:val="24"/>
        </w:rPr>
        <w:t>采用</w:t>
      </w:r>
      <w:r w:rsidRPr="00637FB4">
        <w:rPr>
          <w:rFonts w:asciiTheme="minorEastAsia" w:eastAsiaTheme="minorEastAsia" w:hAnsiTheme="minorEastAsia" w:cs="微软雅黑"/>
          <w:sz w:val="24"/>
        </w:rPr>
        <w:t>合金钢管远红外加热器</w:t>
      </w:r>
      <w:r w:rsidRPr="00637FB4">
        <w:rPr>
          <w:rFonts w:asciiTheme="minorEastAsia" w:eastAsiaTheme="minorEastAsia" w:hAnsiTheme="minorEastAsia" w:cs="微软雅黑" w:hint="eastAsia"/>
          <w:sz w:val="24"/>
        </w:rPr>
        <w:t>，具有隔热挡板。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 w:hint="eastAsia"/>
          <w:sz w:val="24"/>
        </w:rPr>
        <w:t>≥8吋彩色LCD液晶显示；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宋体" w:hint="eastAsia"/>
          <w:sz w:val="24"/>
        </w:rPr>
        <w:t>▲</w:t>
      </w:r>
      <w:r w:rsidRPr="00637FB4">
        <w:rPr>
          <w:rFonts w:asciiTheme="minorEastAsia" w:eastAsiaTheme="minorEastAsia" w:hAnsiTheme="minorEastAsia" w:cs="微软雅黑" w:hint="eastAsia"/>
          <w:sz w:val="24"/>
        </w:rPr>
        <w:t>婴儿床360度双向旋转；</w:t>
      </w:r>
    </w:p>
    <w:p w:rsidR="00637FB4" w:rsidRPr="00637FB4" w:rsidRDefault="00637FB4" w:rsidP="00637FB4">
      <w:pPr>
        <w:pStyle w:val="ac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/>
          <w:sz w:val="24"/>
        </w:rPr>
        <w:t>挡板内置阻尼</w:t>
      </w:r>
      <w:r w:rsidRPr="00637FB4">
        <w:rPr>
          <w:rFonts w:asciiTheme="minorEastAsia" w:eastAsiaTheme="minorEastAsia" w:hAnsiTheme="minorEastAsia" w:cs="微软雅黑" w:hint="eastAsia"/>
          <w:sz w:val="24"/>
        </w:rPr>
        <w:t>；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 w:hint="eastAsia"/>
          <w:sz w:val="24"/>
        </w:rPr>
        <w:t>具备前、后出风的空气循环系统；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 w:hint="eastAsia"/>
          <w:sz w:val="24"/>
        </w:rPr>
        <w:t>床下可放置X光射线拍片盒，适应X光射线拍片功能。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 w:hint="eastAsia"/>
          <w:sz w:val="24"/>
        </w:rPr>
        <w:t>具有数据储存曲线显示功能；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 w:hint="eastAsia"/>
          <w:sz w:val="24"/>
        </w:rPr>
        <w:t>具有整机高度电动调节功能；</w:t>
      </w:r>
    </w:p>
    <w:p w:rsidR="00637FB4" w:rsidRPr="00637FB4" w:rsidRDefault="00637FB4" w:rsidP="00637FB4">
      <w:pPr>
        <w:pStyle w:val="ac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="微软雅黑"/>
          <w:sz w:val="24"/>
        </w:rPr>
      </w:pPr>
      <w:r w:rsidRPr="00637FB4">
        <w:rPr>
          <w:rFonts w:asciiTheme="minorEastAsia" w:eastAsiaTheme="minorEastAsia" w:hAnsiTheme="minorEastAsia" w:cs="微软雅黑" w:hint="eastAsia"/>
          <w:sz w:val="24"/>
        </w:rPr>
        <w:t>产品具有自检功能，多种故障报警提示；</w:t>
      </w:r>
    </w:p>
    <w:p w:rsidR="00637FB4" w:rsidRPr="00637FB4" w:rsidRDefault="00637FB4" w:rsidP="00637FB4">
      <w:pPr>
        <w:spacing w:line="360" w:lineRule="auto"/>
        <w:rPr>
          <w:rFonts w:asciiTheme="minorEastAsia" w:eastAsiaTheme="minorEastAsia" w:hAnsiTheme="minorEastAsia" w:cs="微软雅黑"/>
          <w:bCs/>
          <w:sz w:val="24"/>
          <w:szCs w:val="24"/>
        </w:rPr>
      </w:pPr>
      <w:r w:rsidRPr="00637FB4">
        <w:rPr>
          <w:rFonts w:asciiTheme="minorEastAsia" w:eastAsiaTheme="minorEastAsia" w:hAnsiTheme="minorEastAsia" w:cs="微软雅黑"/>
          <w:sz w:val="24"/>
          <w:szCs w:val="24"/>
        </w:rPr>
        <w:t>19</w:t>
      </w:r>
      <w:r w:rsidRPr="00637FB4">
        <w:rPr>
          <w:rFonts w:asciiTheme="minorEastAsia" w:eastAsiaTheme="minorEastAsia" w:hAnsiTheme="minorEastAsia" w:cs="微软雅黑" w:hint="eastAsia"/>
          <w:sz w:val="24"/>
          <w:szCs w:val="24"/>
        </w:rPr>
        <w:t>、</w:t>
      </w:r>
      <w:r w:rsidRPr="00637FB4">
        <w:rPr>
          <w:rFonts w:asciiTheme="minorEastAsia" w:eastAsiaTheme="minorEastAsia" w:hAnsiTheme="minorEastAsia" w:cs="微软雅黑" w:hint="eastAsia"/>
          <w:sz w:val="24"/>
          <w:szCs w:val="24"/>
        </w:rPr>
        <w:t>故障报警包括：断电、风机、传感器、偏差、箱蓬、超温、水箱放置错误、缺水、设置、检查和系统等；</w:t>
      </w:r>
    </w:p>
    <w:p w:rsidR="00637FB4" w:rsidRPr="00637FB4" w:rsidRDefault="00637FB4" w:rsidP="00637FB4">
      <w:pPr>
        <w:spacing w:line="360" w:lineRule="auto"/>
        <w:rPr>
          <w:rFonts w:asciiTheme="minorEastAsia" w:eastAsiaTheme="minorEastAsia" w:hAnsiTheme="minorEastAsia" w:cs="微软雅黑"/>
          <w:bCs/>
          <w:sz w:val="24"/>
          <w:szCs w:val="24"/>
        </w:rPr>
      </w:pPr>
      <w:r w:rsidRPr="00637FB4">
        <w:rPr>
          <w:rFonts w:asciiTheme="minorEastAsia" w:eastAsiaTheme="minorEastAsia" w:hAnsiTheme="minorEastAsia" w:cs="微软雅黑"/>
          <w:bCs/>
          <w:sz w:val="24"/>
          <w:szCs w:val="24"/>
        </w:rPr>
        <w:t>20</w:t>
      </w:r>
      <w:r w:rsidRPr="00637FB4">
        <w:rPr>
          <w:rFonts w:asciiTheme="minorEastAsia" w:eastAsiaTheme="minorEastAsia" w:hAnsiTheme="minorEastAsia" w:cs="微软雅黑" w:hint="eastAsia"/>
          <w:bCs/>
          <w:sz w:val="24"/>
          <w:szCs w:val="24"/>
        </w:rPr>
        <w:t>、</w:t>
      </w:r>
      <w:r w:rsidRPr="00637FB4">
        <w:rPr>
          <w:rFonts w:asciiTheme="minorEastAsia" w:eastAsiaTheme="minorEastAsia" w:hAnsiTheme="minorEastAsia" w:cs="微软雅黑" w:hint="eastAsia"/>
          <w:bCs/>
          <w:sz w:val="24"/>
          <w:szCs w:val="24"/>
        </w:rPr>
        <w:t>主机除配置婴儿舱、机箱、控制仪、箱篷、传感器盒，皮肤温度传感器，升降式机柜，辐射器外，配备输液架及托盘、检查灯。</w:t>
      </w:r>
    </w:p>
    <w:p w:rsidR="0096795B" w:rsidRPr="00637FB4" w:rsidRDefault="00637FB4" w:rsidP="00CB3F4E">
      <w:pPr>
        <w:spacing w:line="360" w:lineRule="auto"/>
        <w:rPr>
          <w:rFonts w:asciiTheme="minorEastAsia" w:eastAsiaTheme="minorEastAsia" w:hAnsiTheme="minorEastAsia" w:cs="微软雅黑" w:hint="eastAsia"/>
          <w:bCs/>
          <w:sz w:val="24"/>
          <w:szCs w:val="24"/>
        </w:rPr>
      </w:pPr>
      <w:r w:rsidRPr="00637FB4">
        <w:rPr>
          <w:rFonts w:asciiTheme="minorEastAsia" w:eastAsiaTheme="minorEastAsia" w:hAnsiTheme="minorEastAsia" w:cs="微软雅黑"/>
          <w:bCs/>
          <w:sz w:val="24"/>
          <w:szCs w:val="24"/>
        </w:rPr>
        <w:t>21</w:t>
      </w:r>
      <w:r w:rsidRPr="00637FB4">
        <w:rPr>
          <w:rFonts w:asciiTheme="minorEastAsia" w:eastAsiaTheme="minorEastAsia" w:hAnsiTheme="minorEastAsia" w:cs="微软雅黑" w:hint="eastAsia"/>
          <w:bCs/>
          <w:sz w:val="24"/>
          <w:szCs w:val="24"/>
        </w:rPr>
        <w:t>、</w:t>
      </w:r>
      <w:r w:rsidRPr="00637FB4">
        <w:rPr>
          <w:rFonts w:asciiTheme="minorEastAsia" w:eastAsiaTheme="minorEastAsia" w:hAnsiTheme="minorEastAsia" w:cs="微软雅黑" w:hint="eastAsia"/>
          <w:bCs/>
          <w:sz w:val="24"/>
          <w:szCs w:val="24"/>
        </w:rPr>
        <w:t>内置体重测量秤。</w:t>
      </w:r>
    </w:p>
    <w:p w:rsidR="00F1278A" w:rsidRPr="00637FB4" w:rsidRDefault="006D1306" w:rsidP="005C536B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637FB4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19528E" w:rsidRPr="00637FB4">
        <w:rPr>
          <w:rFonts w:asciiTheme="minorEastAsia" w:eastAsiaTheme="minorEastAsia" w:hAnsiTheme="minorEastAsia" w:cs="宋体" w:hint="eastAsia"/>
          <w:sz w:val="24"/>
          <w:szCs w:val="24"/>
        </w:rPr>
        <w:t>其它</w:t>
      </w:r>
      <w:r w:rsidR="0019528E" w:rsidRPr="00637FB4">
        <w:rPr>
          <w:rFonts w:asciiTheme="minorEastAsia" w:eastAsiaTheme="minorEastAsia" w:hAnsiTheme="minorEastAsia" w:cs="宋体"/>
          <w:sz w:val="24"/>
          <w:szCs w:val="24"/>
        </w:rPr>
        <w:t>要求</w:t>
      </w:r>
    </w:p>
    <w:p w:rsidR="00637FB4" w:rsidRPr="00637FB4" w:rsidRDefault="00637FB4" w:rsidP="00A238C5">
      <w:pPr>
        <w:pStyle w:val="af3"/>
        <w:widowControl/>
        <w:rPr>
          <w:rFonts w:asciiTheme="minorEastAsia" w:eastAsiaTheme="minorEastAsia" w:hAnsiTheme="minorEastAsia"/>
          <w:bCs/>
          <w:szCs w:val="24"/>
        </w:rPr>
      </w:pPr>
      <w:r w:rsidRPr="00637FB4">
        <w:rPr>
          <w:rFonts w:asciiTheme="minorEastAsia" w:eastAsiaTheme="minorEastAsia" w:hAnsiTheme="minorEastAsia" w:hint="eastAsia"/>
          <w:bCs/>
          <w:szCs w:val="24"/>
        </w:rPr>
        <w:t>★1、投标供应商所投产品技术参数符合性条款审查，如有重要（“▲”号）条款明显偏离或普通条款3条（及以上）偏离，所投产品将视为不符合使用科室需求，该投标将视为无效投标。</w:t>
      </w:r>
    </w:p>
    <w:p w:rsidR="00637FB4" w:rsidRPr="00637FB4" w:rsidRDefault="00637FB4" w:rsidP="00A238C5">
      <w:pPr>
        <w:pStyle w:val="af3"/>
        <w:widowControl/>
        <w:rPr>
          <w:rFonts w:asciiTheme="minorEastAsia" w:eastAsiaTheme="minorEastAsia" w:hAnsiTheme="minorEastAsia"/>
          <w:bCs/>
          <w:szCs w:val="24"/>
        </w:rPr>
      </w:pPr>
      <w:r w:rsidRPr="00637FB4">
        <w:rPr>
          <w:rFonts w:asciiTheme="minorEastAsia" w:eastAsiaTheme="minorEastAsia" w:hAnsiTheme="minorEastAsia" w:hint="eastAsia"/>
          <w:bCs/>
          <w:szCs w:val="24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637FB4" w:rsidRPr="00637FB4" w:rsidRDefault="00637FB4" w:rsidP="00A238C5">
      <w:pPr>
        <w:pStyle w:val="af3"/>
        <w:widowControl/>
        <w:rPr>
          <w:rFonts w:asciiTheme="minorEastAsia" w:eastAsiaTheme="minorEastAsia" w:hAnsiTheme="minorEastAsia"/>
          <w:bCs/>
          <w:szCs w:val="24"/>
        </w:rPr>
      </w:pPr>
      <w:r w:rsidRPr="00637FB4">
        <w:rPr>
          <w:rFonts w:asciiTheme="minorEastAsia" w:eastAsiaTheme="minorEastAsia" w:hAnsiTheme="minorEastAsia" w:hint="eastAsia"/>
          <w:bCs/>
          <w:szCs w:val="24"/>
        </w:rPr>
        <w:t>3、驻地以上城市具有厂家备件库及售后服务工程师，支持安装、调试及维修：提供7x24小时技术支持热线，出现故障后，工程师≤ 2小时电话响应，≤ 48小时内到达现场维修。</w:t>
      </w:r>
    </w:p>
    <w:p w:rsidR="00637FB4" w:rsidRPr="00637FB4" w:rsidRDefault="00637FB4" w:rsidP="00A238C5">
      <w:pPr>
        <w:pStyle w:val="af3"/>
        <w:widowControl/>
        <w:rPr>
          <w:rFonts w:asciiTheme="minorEastAsia" w:eastAsiaTheme="minorEastAsia" w:hAnsiTheme="minorEastAsia"/>
          <w:bCs/>
          <w:szCs w:val="24"/>
        </w:rPr>
      </w:pPr>
      <w:r w:rsidRPr="00637FB4">
        <w:rPr>
          <w:rFonts w:asciiTheme="minorEastAsia" w:eastAsiaTheme="minorEastAsia" w:hAnsiTheme="minorEastAsia" w:hint="eastAsia"/>
          <w:bCs/>
          <w:szCs w:val="24"/>
        </w:rPr>
        <w:lastRenderedPageBreak/>
        <w:t>4、提供不少于2次的免费现场操作、维护及临床适应症培训，直至操作人员能独立熟练操作。</w:t>
      </w:r>
    </w:p>
    <w:p w:rsidR="00637FB4" w:rsidRPr="00637FB4" w:rsidRDefault="00637FB4" w:rsidP="00A238C5">
      <w:pPr>
        <w:pStyle w:val="af3"/>
        <w:widowControl/>
        <w:rPr>
          <w:rFonts w:asciiTheme="minorEastAsia" w:eastAsiaTheme="minorEastAsia" w:hAnsiTheme="minorEastAsia"/>
          <w:bCs/>
          <w:szCs w:val="24"/>
        </w:rPr>
      </w:pPr>
      <w:r w:rsidRPr="00637FB4">
        <w:rPr>
          <w:rFonts w:asciiTheme="minorEastAsia" w:eastAsiaTheme="minorEastAsia" w:hAnsiTheme="minorEastAsia" w:hint="eastAsia"/>
          <w:bCs/>
          <w:szCs w:val="24"/>
        </w:rPr>
        <w:t>5、本项目要求提供生产日期为6个月内的设备,设备注册使用年限≥10年（提供佐证）。</w:t>
      </w:r>
    </w:p>
    <w:p w:rsidR="00637FB4" w:rsidRPr="00637FB4" w:rsidRDefault="00637FB4" w:rsidP="00A238C5">
      <w:pPr>
        <w:pStyle w:val="af3"/>
        <w:widowControl/>
        <w:rPr>
          <w:rFonts w:asciiTheme="minorEastAsia" w:eastAsiaTheme="minorEastAsia" w:hAnsiTheme="minorEastAsia"/>
          <w:bCs/>
          <w:szCs w:val="24"/>
        </w:rPr>
      </w:pPr>
      <w:r w:rsidRPr="00637FB4">
        <w:rPr>
          <w:rFonts w:asciiTheme="minorEastAsia" w:eastAsiaTheme="minorEastAsia" w:hAnsiTheme="minorEastAsia" w:hint="eastAsia"/>
          <w:bCs/>
          <w:szCs w:val="24"/>
        </w:rPr>
        <w:t>6、质保期大于或等于2年，质保期从验收合格后开始计算。质保期内所有软件维护、升级和设备维护等要求免费上门服务。</w:t>
      </w:r>
    </w:p>
    <w:p w:rsidR="00637FB4" w:rsidRDefault="00637FB4" w:rsidP="00637FB4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637FB4">
        <w:rPr>
          <w:rFonts w:asciiTheme="minorEastAsia" w:eastAsiaTheme="minorEastAsia" w:hAnsiTheme="minorEastAsia" w:hint="eastAsia"/>
          <w:bCs/>
          <w:sz w:val="24"/>
          <w:szCs w:val="24"/>
        </w:rPr>
        <w:t>7、提供设备标准配置清单，涉及耗材及易损件必须提供清单分项报价。</w:t>
      </w:r>
    </w:p>
    <w:p w:rsidR="00685B42" w:rsidRPr="00637FB4" w:rsidRDefault="00E24CF8" w:rsidP="00637FB4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637FB4">
        <w:rPr>
          <w:rFonts w:asciiTheme="minorEastAsia" w:eastAsiaTheme="minorEastAsia" w:hAnsiTheme="minorEastAsia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8B7F44"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8B7F44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8B7F44">
        <w:rPr>
          <w:sz w:val="24"/>
          <w:szCs w:val="24"/>
        </w:rPr>
        <w:t>6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87A89" w:rsidRDefault="00487A8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FE" w:rsidRDefault="002F4BFE">
      <w:r>
        <w:separator/>
      </w:r>
    </w:p>
  </w:endnote>
  <w:endnote w:type="continuationSeparator" w:id="0">
    <w:p w:rsidR="002F4BFE" w:rsidRDefault="002F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FE" w:rsidRDefault="002F4BFE">
      <w:r>
        <w:separator/>
      </w:r>
    </w:p>
  </w:footnote>
  <w:footnote w:type="continuationSeparator" w:id="0">
    <w:p w:rsidR="002F4BFE" w:rsidRDefault="002F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412F4B">
      <w:t>6</w:t>
    </w:r>
    <w:r w:rsidR="0011797F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3B908CB"/>
    <w:multiLevelType w:val="hybridMultilevel"/>
    <w:tmpl w:val="16BCAD58"/>
    <w:lvl w:ilvl="0" w:tplc="F2B808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16F863F9"/>
    <w:multiLevelType w:val="hybridMultilevel"/>
    <w:tmpl w:val="BB0EB40E"/>
    <w:lvl w:ilvl="0" w:tplc="0B5885C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C805437"/>
    <w:multiLevelType w:val="hybridMultilevel"/>
    <w:tmpl w:val="F9C6BB94"/>
    <w:lvl w:ilvl="0" w:tplc="1674B324">
      <w:start w:val="4"/>
      <w:numFmt w:val="decimal"/>
      <w:lvlText w:val="%1、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E142B0"/>
    <w:multiLevelType w:val="singleLevel"/>
    <w:tmpl w:val="0000000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3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7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20"/>
  </w:num>
  <w:num w:numId="5">
    <w:abstractNumId w:val="18"/>
  </w:num>
  <w:num w:numId="6">
    <w:abstractNumId w:val="28"/>
  </w:num>
  <w:num w:numId="7">
    <w:abstractNumId w:val="3"/>
  </w:num>
  <w:num w:numId="8">
    <w:abstractNumId w:val="0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23"/>
  </w:num>
  <w:num w:numId="14">
    <w:abstractNumId w:val="22"/>
  </w:num>
  <w:num w:numId="15">
    <w:abstractNumId w:val="7"/>
  </w:num>
  <w:num w:numId="16">
    <w:abstractNumId w:val="9"/>
  </w:num>
  <w:num w:numId="17">
    <w:abstractNumId w:val="24"/>
  </w:num>
  <w:num w:numId="18">
    <w:abstractNumId w:val="26"/>
  </w:num>
  <w:num w:numId="19">
    <w:abstractNumId w:val="14"/>
  </w:num>
  <w:num w:numId="20">
    <w:abstractNumId w:val="21"/>
  </w:num>
  <w:num w:numId="21">
    <w:abstractNumId w:val="10"/>
  </w:num>
  <w:num w:numId="22">
    <w:abstractNumId w:val="19"/>
  </w:num>
  <w:num w:numId="23">
    <w:abstractNumId w:val="27"/>
  </w:num>
  <w:num w:numId="24">
    <w:abstractNumId w:val="8"/>
  </w:num>
  <w:num w:numId="25">
    <w:abstractNumId w:val="25"/>
  </w:num>
  <w:num w:numId="26">
    <w:abstractNumId w:val="17"/>
  </w:num>
  <w:num w:numId="27">
    <w:abstractNumId w:val="13"/>
  </w:num>
  <w:num w:numId="28">
    <w:abstractNumId w:val="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C663A"/>
    <w:rsid w:val="000D27ED"/>
    <w:rsid w:val="000D3922"/>
    <w:rsid w:val="000D6CE0"/>
    <w:rsid w:val="000F016A"/>
    <w:rsid w:val="000F69AE"/>
    <w:rsid w:val="001030AB"/>
    <w:rsid w:val="001109F0"/>
    <w:rsid w:val="00112146"/>
    <w:rsid w:val="0011362C"/>
    <w:rsid w:val="0011797F"/>
    <w:rsid w:val="00125617"/>
    <w:rsid w:val="001259C7"/>
    <w:rsid w:val="00153DEC"/>
    <w:rsid w:val="001622ED"/>
    <w:rsid w:val="00181DB8"/>
    <w:rsid w:val="00184F0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4837"/>
    <w:rsid w:val="002D1A8A"/>
    <w:rsid w:val="002E1636"/>
    <w:rsid w:val="002E4AC8"/>
    <w:rsid w:val="002F4BFE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55B30"/>
    <w:rsid w:val="004623F3"/>
    <w:rsid w:val="004719D3"/>
    <w:rsid w:val="00487A89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37FB4"/>
    <w:rsid w:val="00640FCF"/>
    <w:rsid w:val="006464F7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F0BE4"/>
    <w:rsid w:val="006F1D2B"/>
    <w:rsid w:val="006F71DB"/>
    <w:rsid w:val="00706643"/>
    <w:rsid w:val="00706E93"/>
    <w:rsid w:val="0070700F"/>
    <w:rsid w:val="00712274"/>
    <w:rsid w:val="007214C2"/>
    <w:rsid w:val="00730CF6"/>
    <w:rsid w:val="00745BCC"/>
    <w:rsid w:val="00746A55"/>
    <w:rsid w:val="007509C4"/>
    <w:rsid w:val="00753854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F58A9"/>
    <w:rsid w:val="00807A5B"/>
    <w:rsid w:val="00817298"/>
    <w:rsid w:val="00823DE5"/>
    <w:rsid w:val="00826B60"/>
    <w:rsid w:val="00837806"/>
    <w:rsid w:val="008501D2"/>
    <w:rsid w:val="00855B8B"/>
    <w:rsid w:val="00862531"/>
    <w:rsid w:val="0087637D"/>
    <w:rsid w:val="008777EA"/>
    <w:rsid w:val="00877E3F"/>
    <w:rsid w:val="008832B0"/>
    <w:rsid w:val="008905D8"/>
    <w:rsid w:val="008946C9"/>
    <w:rsid w:val="008A27D7"/>
    <w:rsid w:val="008B768B"/>
    <w:rsid w:val="008B7F44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38C5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15EB"/>
    <w:rsid w:val="00B52C36"/>
    <w:rsid w:val="00B54057"/>
    <w:rsid w:val="00B5460B"/>
    <w:rsid w:val="00B57902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4587A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37B51E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F220-52B0-4381-8F9C-DF20A4DA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13</Pages>
  <Words>564</Words>
  <Characters>3220</Characters>
  <Application>Microsoft Office Word</Application>
  <DocSecurity>0</DocSecurity>
  <Lines>26</Lines>
  <Paragraphs>7</Paragraphs>
  <ScaleCrop>false</ScaleCrop>
  <Company>微软中国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214</cp:revision>
  <dcterms:created xsi:type="dcterms:W3CDTF">2024-07-18T02:43:00Z</dcterms:created>
  <dcterms:modified xsi:type="dcterms:W3CDTF">2025-11-06T08:37:00Z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