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震动排痰机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震动排痰机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30000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内科重症监护室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震动排痰机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ind w:firstLine="2201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振动排痰机技术参数</w:t>
      </w:r>
    </w:p>
    <w:p>
      <w:pPr>
        <w:ind w:firstLine="2201" w:firstLineChars="500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447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8"/>
        <w:gridCol w:w="1772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术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参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主机和推车可分离，方便单独使用。不是撑杆式，也不是一体机，设备整体</w:t>
            </w:r>
            <w:r>
              <w:rPr>
                <w:b/>
                <w:szCs w:val="21"/>
              </w:rPr>
              <w:t>ABS</w:t>
            </w:r>
            <w:r>
              <w:rPr>
                <w:rFonts w:hint="eastAsia"/>
                <w:b/>
                <w:szCs w:val="21"/>
              </w:rPr>
              <w:t>模具成型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电源电压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A.C.220V±22V</w:t>
            </w:r>
            <w:r>
              <w:rPr>
                <w:rFonts w:hint="eastAsia"/>
                <w:szCs w:val="21"/>
              </w:rPr>
              <w:t>，频率</w:t>
            </w:r>
            <w:r>
              <w:rPr>
                <w:szCs w:val="21"/>
              </w:rPr>
              <w:t>50HZ±10HZ</w:t>
            </w:r>
            <w:r>
              <w:rPr>
                <w:rFonts w:hint="eastAsia"/>
                <w:szCs w:val="21"/>
                <w:lang w:val="en-US" w:eastAsia="zh-CN"/>
              </w:rPr>
              <w:t xml:space="preserve"> 输入功率160w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操作方式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触摸按键</w:t>
            </w:r>
            <w:r>
              <w:rPr>
                <w:rFonts w:hint="eastAsia"/>
                <w:szCs w:val="21"/>
                <w:lang w:eastAsia="zh-CN"/>
              </w:rPr>
              <w:t>操作，转换功能和参数一步到位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操作手柄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操作手柄可</w:t>
            </w:r>
            <w:r>
              <w:rPr>
                <w:rFonts w:hint="eastAsia"/>
                <w:szCs w:val="21"/>
                <w:lang w:val="en-US" w:eastAsia="zh-CN"/>
              </w:rPr>
              <w:t>360度旋转，不受任何体位的限制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叩击输出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单路输出</w:t>
            </w:r>
            <w:r>
              <w:rPr>
                <w:rFonts w:hint="eastAsia"/>
                <w:b/>
                <w:szCs w:val="21"/>
                <w:lang w:eastAsia="zh-CN"/>
              </w:rPr>
              <w:t>，适用于成人和儿童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伺服电路设计，使设定振动频率与动力实际输出振动频率保持一致，无功率衰减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频率控制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10—60HZ</w:t>
            </w:r>
            <w:r>
              <w:rPr>
                <w:rFonts w:hint="eastAsia"/>
                <w:szCs w:val="21"/>
              </w:rPr>
              <w:t>，连续可调，高亮度数码管显示，</w:t>
            </w:r>
            <w:r>
              <w:rPr>
                <w:rFonts w:hint="eastAsia"/>
                <w:b/>
                <w:szCs w:val="21"/>
              </w:rPr>
              <w:t>微电脑控制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时间控制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0—60min</w:t>
            </w:r>
            <w:r>
              <w:rPr>
                <w:rFonts w:hint="eastAsia"/>
                <w:szCs w:val="21"/>
              </w:rPr>
              <w:t>，连续可调，高亮度数码管显示，</w:t>
            </w:r>
            <w:r>
              <w:rPr>
                <w:rFonts w:hint="eastAsia"/>
                <w:b/>
                <w:szCs w:val="21"/>
              </w:rPr>
              <w:t>微电脑控制</w:t>
            </w:r>
            <w:r>
              <w:rPr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可自动停机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输出速度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600</w:t>
            </w:r>
            <w:r>
              <w:rPr>
                <w:rFonts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—3600</w:t>
            </w:r>
            <w:r>
              <w:rPr>
                <w:rFonts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振动幅度</w:t>
            </w: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4mm-8mm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患者漏电流</w:t>
            </w:r>
            <w:r>
              <w:rPr>
                <w:b/>
                <w:bCs/>
                <w:szCs w:val="21"/>
              </w:rPr>
              <w:t>≤</w:t>
            </w:r>
            <w:r>
              <w:rPr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6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szCs w:val="21"/>
              </w:rPr>
              <w:t>70mm</w:t>
            </w:r>
            <w:r>
              <w:rPr>
                <w:rFonts w:hint="eastAsia"/>
                <w:szCs w:val="21"/>
              </w:rPr>
              <w:t>，聚氨酯海绵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适用于儿童或身体中小的敏感部位，与叩击接合器相连，常用与儿童体位引流。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  <w:lang w:val="en-US" w:eastAsia="zh-CN"/>
              </w:rPr>
              <w:t>95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，软聚氨酯海绵组成，产生的作用力更为轻柔，常用于老年人或敏感病人体位引流。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，较硬滑面橡皮，当使用其边缘或形成某一角度时，可产生明显的叩击或叩击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振动联合效果。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叩击头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轭状，宽度</w:t>
            </w:r>
            <w:r>
              <w:rPr>
                <w:rFonts w:hint="eastAsia"/>
                <w:szCs w:val="21"/>
                <w:lang w:val="en-US" w:eastAsia="zh-CN"/>
              </w:rPr>
              <w:t>165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，有两个接触点，可用于病人胸、背和前后的两侧治疗。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叩击接合器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用于体位引流时从叩击头的整个表面获得完整的叩击效果，使面板产生的振动作用转变为叩击作用。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五种自动</w:t>
            </w:r>
          </w:p>
          <w:p>
            <w:pPr>
              <w:tabs>
                <w:tab w:val="left" w:pos="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叩击模式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自动叩击模式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变频</w:t>
            </w:r>
            <w:r>
              <w:rPr>
                <w:szCs w:val="21"/>
              </w:rPr>
              <w:t>15—20HZ</w:t>
            </w:r>
            <w:r>
              <w:rPr>
                <w:rFonts w:hint="eastAsia"/>
                <w:szCs w:val="21"/>
              </w:rPr>
              <w:t>；适合手术后危重病人或敏感性病人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自动叩击模式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变频范围</w:t>
            </w:r>
            <w:r>
              <w:rPr>
                <w:szCs w:val="21"/>
              </w:rPr>
              <w:t>15—25HZ</w:t>
            </w:r>
            <w:r>
              <w:rPr>
                <w:rFonts w:hint="eastAsia"/>
                <w:szCs w:val="21"/>
              </w:rPr>
              <w:t>；适合体质较弱，或瘦小病人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自动叩击模式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变频范围</w:t>
            </w:r>
            <w:r>
              <w:rPr>
                <w:szCs w:val="21"/>
              </w:rPr>
              <w:t>20—25HZ</w:t>
            </w:r>
            <w:r>
              <w:rPr>
                <w:rFonts w:hint="eastAsia"/>
                <w:szCs w:val="21"/>
              </w:rPr>
              <w:t>；适合体质较好或需要治疗的病人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自动叩击模式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变频范围</w:t>
            </w:r>
            <w:r>
              <w:rPr>
                <w:szCs w:val="21"/>
              </w:rPr>
              <w:t>20—30HZ</w:t>
            </w:r>
            <w:r>
              <w:rPr>
                <w:rFonts w:hint="eastAsia"/>
                <w:szCs w:val="21"/>
              </w:rPr>
              <w:t>；适合体质强壮或肥胖病人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自定义叩击模式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用户可按照自己的叩击经验设计叩击程序。</w:t>
            </w:r>
          </w:p>
        </w:tc>
      </w:tr>
    </w:tbl>
    <w:p>
      <w:pPr>
        <w:ind w:firstLine="2201" w:firstLineChars="500"/>
        <w:rPr>
          <w:rFonts w:hint="eastAsia"/>
          <w:b/>
          <w:bCs/>
          <w:sz w:val="44"/>
          <w:szCs w:val="44"/>
        </w:rPr>
      </w:pPr>
    </w:p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5392396"/>
    <w:rsid w:val="74E05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2021-12-25T00:11:10Z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8887B7D070764149AA7E040D6A83886C</vt:lpwstr>
  </property>
</Properties>
</file>